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B8" w:rsidRPr="00E271FC" w:rsidRDefault="00172BF0">
      <w:pPr>
        <w:rPr>
          <w:rFonts w:ascii="Times New Roman" w:hAnsi="Times New Roman" w:cs="Times New Roman"/>
          <w:b/>
          <w:sz w:val="28"/>
          <w:szCs w:val="28"/>
        </w:rPr>
      </w:pPr>
      <w:r>
        <w:rPr>
          <w:rFonts w:ascii="Times New Roman" w:hAnsi="Times New Roman" w:cs="Times New Roman"/>
          <w:b/>
          <w:sz w:val="28"/>
          <w:szCs w:val="28"/>
        </w:rPr>
        <w:t>A</w:t>
      </w:r>
      <w:bookmarkStart w:id="0" w:name="_GoBack"/>
      <w:bookmarkEnd w:id="0"/>
      <w:r w:rsidR="008B1D9A" w:rsidRPr="00E271FC">
        <w:rPr>
          <w:rFonts w:ascii="Times New Roman" w:hAnsi="Times New Roman" w:cs="Times New Roman"/>
          <w:b/>
          <w:sz w:val="28"/>
          <w:szCs w:val="28"/>
        </w:rPr>
        <w:t>arhus Katedralskole</w:t>
      </w:r>
    </w:p>
    <w:p w:rsidR="008B1D9A" w:rsidRDefault="00172BF0" w:rsidP="0036691F">
      <w:pPr>
        <w:rPr>
          <w:rFonts w:ascii="Times New Roman" w:hAnsi="Times New Roman" w:cs="Times New Roman"/>
          <w:b/>
          <w:sz w:val="40"/>
          <w:szCs w:val="40"/>
        </w:rPr>
      </w:pPr>
      <w:r>
        <w:rPr>
          <w:rFonts w:ascii="Times New Roman" w:hAnsi="Times New Roman" w:cs="Times New Roman"/>
          <w:b/>
          <w:sz w:val="40"/>
          <w:szCs w:val="40"/>
        </w:rPr>
        <w:t>Selvevaluering og o</w:t>
      </w:r>
      <w:r w:rsidR="006E1622">
        <w:rPr>
          <w:rFonts w:ascii="Times New Roman" w:hAnsi="Times New Roman" w:cs="Times New Roman"/>
          <w:b/>
          <w:sz w:val="40"/>
          <w:szCs w:val="40"/>
        </w:rPr>
        <w:t>pfølgning</w:t>
      </w:r>
      <w:r>
        <w:rPr>
          <w:rFonts w:ascii="Times New Roman" w:hAnsi="Times New Roman" w:cs="Times New Roman"/>
          <w:b/>
          <w:sz w:val="40"/>
          <w:szCs w:val="40"/>
        </w:rPr>
        <w:t>splan</w:t>
      </w:r>
      <w:r w:rsidR="006E1622">
        <w:rPr>
          <w:rFonts w:ascii="Times New Roman" w:hAnsi="Times New Roman" w:cs="Times New Roman"/>
          <w:b/>
          <w:sz w:val="40"/>
          <w:szCs w:val="40"/>
        </w:rPr>
        <w:t xml:space="preserve"> på skolens kvalitetsplans målsætninger</w:t>
      </w:r>
      <w:r w:rsidR="001B6FFD">
        <w:rPr>
          <w:rFonts w:ascii="Times New Roman" w:hAnsi="Times New Roman" w:cs="Times New Roman"/>
          <w:b/>
          <w:sz w:val="40"/>
          <w:szCs w:val="40"/>
        </w:rPr>
        <w:t xml:space="preserve"> for skoleåret 19-20</w:t>
      </w:r>
    </w:p>
    <w:p w:rsidR="00095FFB" w:rsidRDefault="00095FFB" w:rsidP="0036691F">
      <w:pPr>
        <w:rPr>
          <w:rFonts w:ascii="Times New Roman" w:hAnsi="Times New Roman" w:cs="Times New Roman"/>
          <w:i/>
          <w:sz w:val="24"/>
          <w:szCs w:val="24"/>
        </w:rPr>
      </w:pPr>
      <w:r>
        <w:rPr>
          <w:rFonts w:ascii="Times New Roman" w:hAnsi="Times New Roman" w:cs="Times New Roman"/>
          <w:i/>
          <w:sz w:val="24"/>
          <w:szCs w:val="24"/>
        </w:rPr>
        <w:t>Der blev sidste år udarbejdet en kvalitetsplan for Aarhus Katedralskole med målsætninger for skoleåret 19-20. Der skal nu følges op på denne i form af en selvevaluering og en opfølgningsplan.</w:t>
      </w:r>
    </w:p>
    <w:p w:rsidR="00E81943" w:rsidRPr="00346F87" w:rsidRDefault="00E81943" w:rsidP="0036691F">
      <w:pPr>
        <w:rPr>
          <w:rFonts w:ascii="Times New Roman" w:hAnsi="Times New Roman" w:cs="Times New Roman"/>
          <w:i/>
          <w:sz w:val="24"/>
          <w:szCs w:val="24"/>
        </w:rPr>
      </w:pPr>
      <w:r>
        <w:rPr>
          <w:rFonts w:ascii="Times New Roman" w:hAnsi="Times New Roman" w:cs="Times New Roman"/>
          <w:i/>
          <w:sz w:val="24"/>
          <w:szCs w:val="24"/>
        </w:rPr>
        <w:t>I nedenstående redegørelse for arbejdet med kvalitetsplanens målsætninger er opfølgningen markeret med kursiv.</w:t>
      </w:r>
      <w:r w:rsidR="00732A03">
        <w:rPr>
          <w:rFonts w:ascii="Times New Roman" w:hAnsi="Times New Roman" w:cs="Times New Roman"/>
          <w:i/>
          <w:sz w:val="24"/>
          <w:szCs w:val="24"/>
        </w:rPr>
        <w:t xml:space="preserve"> </w:t>
      </w:r>
      <w:r w:rsidR="005C6129" w:rsidRPr="00346F87">
        <w:rPr>
          <w:rFonts w:ascii="Times New Roman" w:hAnsi="Times New Roman" w:cs="Times New Roman"/>
          <w:i/>
          <w:sz w:val="24"/>
          <w:szCs w:val="24"/>
        </w:rPr>
        <w:t xml:space="preserve">Det må konkluderes, at vi er nået </w:t>
      </w:r>
      <w:r w:rsidR="00346F87">
        <w:rPr>
          <w:rFonts w:ascii="Times New Roman" w:hAnsi="Times New Roman" w:cs="Times New Roman"/>
          <w:i/>
          <w:sz w:val="24"/>
          <w:szCs w:val="24"/>
        </w:rPr>
        <w:t xml:space="preserve">meget </w:t>
      </w:r>
      <w:r w:rsidR="005C6129" w:rsidRPr="00346F87">
        <w:rPr>
          <w:rFonts w:ascii="Times New Roman" w:hAnsi="Times New Roman" w:cs="Times New Roman"/>
          <w:i/>
          <w:sz w:val="24"/>
          <w:szCs w:val="24"/>
        </w:rPr>
        <w:t>langt i arbejdet med kvalitetsplanens målsætninger trods Coronakrisen</w:t>
      </w:r>
      <w:r w:rsidR="00346F87" w:rsidRPr="00346F87">
        <w:rPr>
          <w:rFonts w:ascii="Times New Roman" w:hAnsi="Times New Roman" w:cs="Times New Roman"/>
          <w:i/>
          <w:sz w:val="24"/>
          <w:szCs w:val="24"/>
        </w:rPr>
        <w:t>,</w:t>
      </w:r>
      <w:r w:rsidR="005C6129" w:rsidRPr="00346F87">
        <w:rPr>
          <w:rFonts w:ascii="Times New Roman" w:hAnsi="Times New Roman" w:cs="Times New Roman"/>
          <w:i/>
          <w:sz w:val="24"/>
          <w:szCs w:val="24"/>
        </w:rPr>
        <w:t xml:space="preserve"> og </w:t>
      </w:r>
      <w:r w:rsidR="00346F87" w:rsidRPr="00346F87">
        <w:rPr>
          <w:rFonts w:ascii="Times New Roman" w:hAnsi="Times New Roman" w:cs="Times New Roman"/>
          <w:i/>
          <w:sz w:val="24"/>
          <w:szCs w:val="24"/>
        </w:rPr>
        <w:t>at der ligger planer for det videre arbejde.</w:t>
      </w:r>
    </w:p>
    <w:p w:rsidR="00346F87" w:rsidRPr="00E81943" w:rsidRDefault="00346F87" w:rsidP="0036691F">
      <w:pPr>
        <w:rPr>
          <w:rFonts w:ascii="Times New Roman" w:hAnsi="Times New Roman" w:cs="Times New Roman"/>
          <w:i/>
          <w:sz w:val="24"/>
          <w:szCs w:val="24"/>
        </w:rPr>
      </w:pPr>
      <w:r>
        <w:rPr>
          <w:rFonts w:ascii="Times New Roman" w:hAnsi="Times New Roman" w:cs="Times New Roman"/>
          <w:i/>
          <w:sz w:val="24"/>
          <w:szCs w:val="24"/>
        </w:rPr>
        <w:t>LE</w:t>
      </w:r>
    </w:p>
    <w:p w:rsidR="00DA2BEC" w:rsidRDefault="00223DD7" w:rsidP="003434A8">
      <w:pPr>
        <w:pStyle w:val="Listeafsnit"/>
        <w:numPr>
          <w:ilvl w:val="0"/>
          <w:numId w:val="3"/>
        </w:numPr>
        <w:rPr>
          <w:rFonts w:ascii="Times New Roman" w:hAnsi="Times New Roman" w:cs="Times New Roman"/>
          <w:b/>
          <w:sz w:val="28"/>
          <w:szCs w:val="28"/>
        </w:rPr>
      </w:pPr>
      <w:r w:rsidRPr="0036691F">
        <w:rPr>
          <w:rFonts w:ascii="Times New Roman" w:hAnsi="Times New Roman" w:cs="Times New Roman"/>
          <w:b/>
          <w:sz w:val="28"/>
          <w:szCs w:val="28"/>
        </w:rPr>
        <w:t>Elevtrivsel</w:t>
      </w:r>
      <w:r w:rsidR="001B6FFD">
        <w:rPr>
          <w:rFonts w:ascii="Times New Roman" w:hAnsi="Times New Roman" w:cs="Times New Roman"/>
          <w:b/>
          <w:sz w:val="28"/>
          <w:szCs w:val="28"/>
        </w:rPr>
        <w:t>smålingen</w:t>
      </w:r>
    </w:p>
    <w:p w:rsidR="003434A8" w:rsidRPr="003434A8" w:rsidRDefault="003434A8"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Skolen deltager i den lovpligtige trivselsundersøgelse blandt alle skolens elever. I undersøgelsen bliver skolens resultat </w:t>
      </w:r>
      <w:proofErr w:type="spellStart"/>
      <w:r>
        <w:rPr>
          <w:rFonts w:ascii="Times New Roman" w:hAnsi="Times New Roman" w:cs="Times New Roman"/>
          <w:sz w:val="24"/>
          <w:szCs w:val="24"/>
        </w:rPr>
        <w:t>benchmarket</w:t>
      </w:r>
      <w:proofErr w:type="spellEnd"/>
      <w:r>
        <w:rPr>
          <w:rFonts w:ascii="Times New Roman" w:hAnsi="Times New Roman" w:cs="Times New Roman"/>
          <w:sz w:val="24"/>
          <w:szCs w:val="24"/>
        </w:rPr>
        <w:t xml:space="preserve"> med et stort antal af landets øvrige gymn</w:t>
      </w:r>
      <w:r w:rsidR="003E0186">
        <w:rPr>
          <w:rFonts w:ascii="Times New Roman" w:hAnsi="Times New Roman" w:cs="Times New Roman"/>
          <w:sz w:val="24"/>
          <w:szCs w:val="24"/>
        </w:rPr>
        <w:t xml:space="preserve">asier. Undersøgelsen kobles </w:t>
      </w:r>
      <w:r>
        <w:rPr>
          <w:rFonts w:ascii="Times New Roman" w:hAnsi="Times New Roman" w:cs="Times New Roman"/>
          <w:sz w:val="24"/>
          <w:szCs w:val="24"/>
        </w:rPr>
        <w:t>minimum hvert tredje år med en undervisningsmiljøvurdering. Resultatet af trivselsmålingen og undervisningsmiljøvurderingen behandles i Undervisningsmiljøudvalget, der på baggrund af undersøgelsen udarbejder handlingsplaner.</w:t>
      </w:r>
    </w:p>
    <w:p w:rsidR="00DA2BEC" w:rsidRPr="001B6FFD" w:rsidRDefault="00DA2BEC" w:rsidP="00A308EE">
      <w:pPr>
        <w:spacing w:line="276" w:lineRule="auto"/>
        <w:rPr>
          <w:rFonts w:ascii="Times New Roman" w:hAnsi="Times New Roman" w:cs="Times New Roman"/>
          <w:b/>
          <w:sz w:val="24"/>
          <w:szCs w:val="24"/>
        </w:rPr>
      </w:pPr>
      <w:r w:rsidRPr="001B6FFD">
        <w:rPr>
          <w:rFonts w:ascii="Times New Roman" w:hAnsi="Times New Roman" w:cs="Times New Roman"/>
          <w:b/>
          <w:sz w:val="24"/>
          <w:szCs w:val="24"/>
        </w:rPr>
        <w:t>Kvalitetsmål 19-20:</w:t>
      </w:r>
    </w:p>
    <w:p w:rsidR="00DA2BEC" w:rsidRDefault="009E12F5"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3434A8">
        <w:rPr>
          <w:rFonts w:ascii="Times New Roman" w:hAnsi="Times New Roman" w:cs="Times New Roman"/>
          <w:sz w:val="24"/>
          <w:szCs w:val="24"/>
        </w:rPr>
        <w:t>Der følges op på alle handlingsplanerne i den årlige elevtrivselsundersøgelse</w:t>
      </w:r>
    </w:p>
    <w:p w:rsidR="006E1622" w:rsidRDefault="006E1622" w:rsidP="006E1622">
      <w:pPr>
        <w:spacing w:line="276" w:lineRule="auto"/>
        <w:rPr>
          <w:rFonts w:ascii="Times New Roman" w:hAnsi="Times New Roman" w:cs="Times New Roman"/>
          <w:i/>
          <w:sz w:val="24"/>
          <w:szCs w:val="24"/>
        </w:rPr>
      </w:pPr>
      <w:r>
        <w:rPr>
          <w:rFonts w:ascii="Times New Roman" w:hAnsi="Times New Roman" w:cs="Times New Roman"/>
          <w:i/>
          <w:sz w:val="24"/>
          <w:szCs w:val="24"/>
        </w:rPr>
        <w:t>Der er løbende fulgt op på alle handlingsplanerne fra Elevtrivselsundersøgelsen 2018 og handlingsplanerne er gennemført:</w:t>
      </w:r>
    </w:p>
    <w:tbl>
      <w:tblPr>
        <w:tblStyle w:val="Tabel-Gitter"/>
        <w:tblW w:w="10566" w:type="dxa"/>
        <w:tblLook w:val="04A0" w:firstRow="1" w:lastRow="0" w:firstColumn="1" w:lastColumn="0" w:noHBand="0" w:noVBand="1"/>
      </w:tblPr>
      <w:tblGrid>
        <w:gridCol w:w="2123"/>
        <w:gridCol w:w="2554"/>
        <w:gridCol w:w="3456"/>
        <w:gridCol w:w="2433"/>
      </w:tblGrid>
      <w:tr w:rsidR="004502B2" w:rsidRPr="00ED2A67" w:rsidTr="004502B2">
        <w:tc>
          <w:tcPr>
            <w:tcW w:w="2123" w:type="dxa"/>
            <w:shd w:val="clear" w:color="auto" w:fill="FFC000"/>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Hovedområde i ETU </w:t>
            </w:r>
          </w:p>
        </w:tc>
        <w:tc>
          <w:tcPr>
            <w:tcW w:w="2554" w:type="dxa"/>
            <w:shd w:val="clear" w:color="auto" w:fill="FFC000"/>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Udfordring/problem </w:t>
            </w:r>
          </w:p>
        </w:tc>
        <w:tc>
          <w:tcPr>
            <w:tcW w:w="3456" w:type="dxa"/>
            <w:shd w:val="clear" w:color="auto" w:fill="FFC000"/>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Tiltag/løsning </w:t>
            </w:r>
          </w:p>
        </w:tc>
        <w:tc>
          <w:tcPr>
            <w:tcW w:w="2433" w:type="dxa"/>
            <w:shd w:val="clear" w:color="auto" w:fill="FFC000"/>
          </w:tcPr>
          <w:p w:rsidR="004502B2" w:rsidRPr="00ED2A67" w:rsidRDefault="004502B2" w:rsidP="009D396C">
            <w:pPr>
              <w:rPr>
                <w:rFonts w:ascii="Times New Roman" w:hAnsi="Times New Roman" w:cs="Times New Roman"/>
                <w:color w:val="2E74B5" w:themeColor="accent1" w:themeShade="BF"/>
                <w:sz w:val="24"/>
                <w:szCs w:val="24"/>
              </w:rPr>
            </w:pPr>
            <w:r w:rsidRPr="00ED2A67">
              <w:rPr>
                <w:rFonts w:ascii="Times New Roman" w:hAnsi="Times New Roman" w:cs="Times New Roman"/>
                <w:sz w:val="24"/>
                <w:szCs w:val="24"/>
              </w:rPr>
              <w:t xml:space="preserve">Status medio oktober ’19 </w:t>
            </w:r>
          </w:p>
        </w:tc>
      </w:tr>
      <w:tr w:rsidR="004502B2" w:rsidRPr="00ED2A67" w:rsidTr="009D396C">
        <w:tc>
          <w:tcPr>
            <w:tcW w:w="2123"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Social trivsel </w:t>
            </w:r>
          </w:p>
        </w:tc>
        <w:tc>
          <w:tcPr>
            <w:tcW w:w="2554"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Score lavere end landsgennemsnittet på spg. ”Der er gode muligheder for at få støtte og vejledning, hvis jeg har det svært”</w:t>
            </w:r>
          </w:p>
        </w:tc>
        <w:tc>
          <w:tcPr>
            <w:tcW w:w="3456"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Tydeligere kommunikation til eleverne om skolens støttetilbud (læse/studie/matematikvejledning m.v.) ad hvilke indgange. </w:t>
            </w:r>
          </w:p>
        </w:tc>
        <w:tc>
          <w:tcPr>
            <w:tcW w:w="2433"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Følgende tiltag er</w:t>
            </w:r>
            <w:r>
              <w:rPr>
                <w:rFonts w:ascii="Times New Roman" w:hAnsi="Times New Roman" w:cs="Times New Roman"/>
                <w:sz w:val="24"/>
                <w:szCs w:val="24"/>
              </w:rPr>
              <w:t xml:space="preserve"> </w:t>
            </w:r>
            <w:r w:rsidRPr="00ED2A67">
              <w:rPr>
                <w:rFonts w:ascii="Times New Roman" w:hAnsi="Times New Roman" w:cs="Times New Roman"/>
                <w:sz w:val="24"/>
                <w:szCs w:val="24"/>
              </w:rPr>
              <w:t>iværksat</w:t>
            </w:r>
            <w:r>
              <w:rPr>
                <w:rFonts w:ascii="Times New Roman" w:hAnsi="Times New Roman" w:cs="Times New Roman"/>
                <w:sz w:val="24"/>
                <w:szCs w:val="24"/>
              </w:rPr>
              <w:t xml:space="preserve"> </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-Oversigtsplan i glasmontre m. vejledernes ansvarsområder og kontaktinfo. </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-Bedre skiltning af vejlederkontorerne</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-Afholdelse af læsescreening og matematikscreening i alle 1.g-klasser og derefter henvisning til vejleder. </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lastRenderedPageBreak/>
              <w:t xml:space="preserve">- Der afholdes 4 fælles møder pr. år ml. alle vejledere og ledelsen </w:t>
            </w:r>
          </w:p>
          <w:p w:rsidR="004502B2" w:rsidRPr="00ED2A67" w:rsidRDefault="004502B2" w:rsidP="009D396C">
            <w:pPr>
              <w:rPr>
                <w:rFonts w:ascii="Times New Roman" w:hAnsi="Times New Roman" w:cs="Times New Roman"/>
                <w:sz w:val="24"/>
                <w:szCs w:val="24"/>
              </w:rPr>
            </w:pPr>
            <w:proofErr w:type="spellStart"/>
            <w:r w:rsidRPr="00ED2A67">
              <w:rPr>
                <w:rFonts w:ascii="Times New Roman" w:hAnsi="Times New Roman" w:cs="Times New Roman"/>
                <w:sz w:val="24"/>
                <w:szCs w:val="24"/>
              </w:rPr>
              <w:t>m.h.p</w:t>
            </w:r>
            <w:proofErr w:type="spellEnd"/>
            <w:r w:rsidRPr="00ED2A67">
              <w:rPr>
                <w:rFonts w:ascii="Times New Roman" w:hAnsi="Times New Roman" w:cs="Times New Roman"/>
                <w:sz w:val="24"/>
                <w:szCs w:val="24"/>
              </w:rPr>
              <w:t>. at sikre koordination</w:t>
            </w:r>
          </w:p>
        </w:tc>
      </w:tr>
      <w:tr w:rsidR="004502B2" w:rsidRPr="00ED2A67" w:rsidTr="009D396C">
        <w:tc>
          <w:tcPr>
            <w:tcW w:w="2123"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lastRenderedPageBreak/>
              <w:t>Pres</w:t>
            </w:r>
          </w:p>
        </w:tc>
        <w:tc>
          <w:tcPr>
            <w:tcW w:w="2554" w:type="dxa"/>
            <w:shd w:val="clear" w:color="auto" w:fill="auto"/>
          </w:tcPr>
          <w:p w:rsidR="004502B2" w:rsidRPr="00ED2A67" w:rsidRDefault="004502B2" w:rsidP="009D396C">
            <w:pPr>
              <w:rPr>
                <w:rFonts w:ascii="Times New Roman" w:hAnsi="Times New Roman" w:cs="Times New Roman"/>
                <w:i/>
                <w:sz w:val="24"/>
                <w:szCs w:val="24"/>
              </w:rPr>
            </w:pPr>
            <w:r w:rsidRPr="00ED2A67">
              <w:rPr>
                <w:rFonts w:ascii="Times New Roman" w:hAnsi="Times New Roman" w:cs="Times New Roman"/>
                <w:sz w:val="24"/>
                <w:szCs w:val="24"/>
              </w:rPr>
              <w:t xml:space="preserve">Mange elever føler sig meget hyppigt pressede særligt pga.  </w:t>
            </w:r>
            <w:r w:rsidRPr="00ED2A67">
              <w:rPr>
                <w:rFonts w:ascii="Times New Roman" w:hAnsi="Times New Roman" w:cs="Times New Roman"/>
                <w:i/>
                <w:sz w:val="24"/>
                <w:szCs w:val="24"/>
              </w:rPr>
              <w:t>karakterer</w:t>
            </w:r>
            <w:r w:rsidRPr="00ED2A67">
              <w:rPr>
                <w:rFonts w:ascii="Times New Roman" w:hAnsi="Times New Roman" w:cs="Times New Roman"/>
                <w:sz w:val="24"/>
                <w:szCs w:val="24"/>
              </w:rPr>
              <w:t xml:space="preserve"> og af </w:t>
            </w:r>
            <w:r w:rsidRPr="00ED2A67">
              <w:rPr>
                <w:rFonts w:ascii="Times New Roman" w:hAnsi="Times New Roman" w:cs="Times New Roman"/>
                <w:i/>
                <w:sz w:val="24"/>
                <w:szCs w:val="24"/>
              </w:rPr>
              <w:t xml:space="preserve">egne krav og forventninger til skolearbejdet, lektier og koordinering af skr. opgaver. </w:t>
            </w:r>
          </w:p>
        </w:tc>
        <w:tc>
          <w:tcPr>
            <w:tcW w:w="3456"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Der laves en fokusgruppeunder- </w:t>
            </w:r>
            <w:proofErr w:type="spellStart"/>
            <w:r w:rsidRPr="00ED2A67">
              <w:rPr>
                <w:rFonts w:ascii="Times New Roman" w:hAnsi="Times New Roman" w:cs="Times New Roman"/>
                <w:sz w:val="24"/>
                <w:szCs w:val="24"/>
              </w:rPr>
              <w:t>søgelse</w:t>
            </w:r>
            <w:proofErr w:type="spellEnd"/>
            <w:r w:rsidRPr="00ED2A67">
              <w:rPr>
                <w:rFonts w:ascii="Times New Roman" w:hAnsi="Times New Roman" w:cs="Times New Roman"/>
                <w:sz w:val="24"/>
                <w:szCs w:val="24"/>
              </w:rPr>
              <w:t xml:space="preserve"> med elever fra forskellige årgange og klasser </w:t>
            </w:r>
            <w:proofErr w:type="spellStart"/>
            <w:r w:rsidRPr="00ED2A67">
              <w:rPr>
                <w:rFonts w:ascii="Times New Roman" w:hAnsi="Times New Roman" w:cs="Times New Roman"/>
                <w:sz w:val="24"/>
                <w:szCs w:val="24"/>
              </w:rPr>
              <w:t>m.h.p</w:t>
            </w:r>
            <w:proofErr w:type="spellEnd"/>
            <w:r w:rsidRPr="00ED2A67">
              <w:rPr>
                <w:rFonts w:ascii="Times New Roman" w:hAnsi="Times New Roman" w:cs="Times New Roman"/>
                <w:sz w:val="24"/>
                <w:szCs w:val="24"/>
              </w:rPr>
              <w:t xml:space="preserve">. at afdække problemet. Herefter opstilles en række mulige løsningsforslag, som gennemføres.   </w:t>
            </w:r>
          </w:p>
          <w:p w:rsidR="004502B2" w:rsidRPr="00ED2A67" w:rsidRDefault="004502B2" w:rsidP="009D396C">
            <w:pPr>
              <w:rPr>
                <w:rFonts w:ascii="Times New Roman" w:hAnsi="Times New Roman" w:cs="Times New Roman"/>
                <w:sz w:val="24"/>
                <w:szCs w:val="24"/>
              </w:rPr>
            </w:pPr>
          </w:p>
          <w:p w:rsidR="004502B2" w:rsidRPr="00ED2A67" w:rsidRDefault="004502B2" w:rsidP="009D396C">
            <w:pPr>
              <w:rPr>
                <w:rFonts w:ascii="Times New Roman" w:hAnsi="Times New Roman" w:cs="Times New Roman"/>
                <w:sz w:val="24"/>
                <w:szCs w:val="24"/>
              </w:rPr>
            </w:pPr>
          </w:p>
        </w:tc>
        <w:tc>
          <w:tcPr>
            <w:tcW w:w="2433"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Arbejdsgruppen afvikler </w:t>
            </w:r>
            <w:proofErr w:type="gramStart"/>
            <w:r w:rsidRPr="00ED2A67">
              <w:rPr>
                <w:rFonts w:ascii="Times New Roman" w:hAnsi="Times New Roman" w:cs="Times New Roman"/>
                <w:sz w:val="24"/>
                <w:szCs w:val="24"/>
              </w:rPr>
              <w:t>fokusgruppeinterviews  primo</w:t>
            </w:r>
            <w:proofErr w:type="gramEnd"/>
            <w:r w:rsidRPr="00ED2A67">
              <w:rPr>
                <w:rFonts w:ascii="Times New Roman" w:hAnsi="Times New Roman" w:cs="Times New Roman"/>
                <w:sz w:val="24"/>
                <w:szCs w:val="24"/>
              </w:rPr>
              <w:t xml:space="preserve"> november </w:t>
            </w:r>
            <w:proofErr w:type="spellStart"/>
            <w:r w:rsidRPr="00ED2A67">
              <w:rPr>
                <w:rFonts w:ascii="Times New Roman" w:hAnsi="Times New Roman" w:cs="Times New Roman"/>
                <w:sz w:val="24"/>
                <w:szCs w:val="24"/>
              </w:rPr>
              <w:t>november</w:t>
            </w:r>
            <w:proofErr w:type="spellEnd"/>
            <w:r w:rsidRPr="00ED2A67">
              <w:rPr>
                <w:rFonts w:ascii="Times New Roman" w:hAnsi="Times New Roman" w:cs="Times New Roman"/>
                <w:sz w:val="24"/>
                <w:szCs w:val="24"/>
              </w:rPr>
              <w:t xml:space="preserve"> og har planlagt og afviklet en temauge i uge 4 (Sund Læring-uge) med fokus på forskellige aspekter af skolehverdagen</w:t>
            </w:r>
          </w:p>
        </w:tc>
      </w:tr>
      <w:tr w:rsidR="004502B2" w:rsidRPr="00ED2A67" w:rsidTr="009D396C">
        <w:tc>
          <w:tcPr>
            <w:tcW w:w="2123"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Undervisningsmiljø </w:t>
            </w:r>
          </w:p>
        </w:tc>
        <w:tc>
          <w:tcPr>
            <w:tcW w:w="2554"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Undervisningslokaler og   fællesområde kan gøres mere indbydende spændende/inspirerende</w:t>
            </w:r>
          </w:p>
          <w:p w:rsidR="004502B2" w:rsidRPr="00ED2A67" w:rsidRDefault="004502B2" w:rsidP="009D396C">
            <w:pPr>
              <w:rPr>
                <w:rFonts w:ascii="Times New Roman" w:hAnsi="Times New Roman" w:cs="Times New Roman"/>
                <w:sz w:val="24"/>
                <w:szCs w:val="24"/>
              </w:rPr>
            </w:pPr>
          </w:p>
        </w:tc>
        <w:tc>
          <w:tcPr>
            <w:tcW w:w="3456"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En arbejdsgruppe undersøger i 18-19 lokalernes pædagogiske indretning og udsmykning - Indsatsen tager udgangspunkt i anbefalingerne herfra. </w:t>
            </w:r>
          </w:p>
        </w:tc>
        <w:tc>
          <w:tcPr>
            <w:tcW w:w="2433" w:type="dxa"/>
            <w:shd w:val="clear" w:color="auto" w:fill="auto"/>
          </w:tcPr>
          <w:p w:rsidR="004502B2" w:rsidRPr="00ED2A67" w:rsidRDefault="004502B2" w:rsidP="009D396C">
            <w:pPr>
              <w:rPr>
                <w:rFonts w:ascii="Times New Roman" w:hAnsi="Times New Roman" w:cs="Times New Roman"/>
                <w:sz w:val="24"/>
                <w:szCs w:val="24"/>
              </w:rPr>
            </w:pPr>
            <w:r w:rsidRPr="000821AB">
              <w:rPr>
                <w:rFonts w:ascii="Times New Roman" w:hAnsi="Times New Roman" w:cs="Times New Roman"/>
                <w:sz w:val="24"/>
                <w:szCs w:val="24"/>
              </w:rPr>
              <w:t>4 u</w:t>
            </w:r>
            <w:r w:rsidRPr="00ED2A67">
              <w:rPr>
                <w:rFonts w:ascii="Times New Roman" w:hAnsi="Times New Roman" w:cs="Times New Roman"/>
                <w:sz w:val="24"/>
                <w:szCs w:val="24"/>
              </w:rPr>
              <w:t xml:space="preserve">ndervisningslokaler er nyindrettede/ny-møblerede </w:t>
            </w:r>
            <w:proofErr w:type="spellStart"/>
            <w:r w:rsidRPr="00ED2A67">
              <w:rPr>
                <w:rFonts w:ascii="Times New Roman" w:hAnsi="Times New Roman" w:cs="Times New Roman"/>
                <w:sz w:val="24"/>
                <w:szCs w:val="24"/>
              </w:rPr>
              <w:t>mhp</w:t>
            </w:r>
            <w:proofErr w:type="spellEnd"/>
            <w:r w:rsidRPr="00ED2A67">
              <w:rPr>
                <w:rFonts w:ascii="Times New Roman" w:hAnsi="Times New Roman" w:cs="Times New Roman"/>
                <w:sz w:val="24"/>
                <w:szCs w:val="24"/>
              </w:rPr>
              <w:t xml:space="preserve">. at muliggøre variation og alternative undervisningsformer.  </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Kunstudvalget har med henblik på løbende udsmykning af klasselokaler etableret udstillingsskinner i 2 klasselokaler til løbende udstilling af elevværker.</w:t>
            </w:r>
          </w:p>
        </w:tc>
      </w:tr>
      <w:tr w:rsidR="004502B2" w:rsidRPr="00ED2A67" w:rsidTr="009D396C">
        <w:tc>
          <w:tcPr>
            <w:tcW w:w="2123"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Digitalisering </w:t>
            </w:r>
          </w:p>
          <w:p w:rsidR="004502B2" w:rsidRPr="00ED2A67" w:rsidRDefault="004502B2" w:rsidP="009D396C">
            <w:pPr>
              <w:rPr>
                <w:rFonts w:ascii="Times New Roman" w:hAnsi="Times New Roman" w:cs="Times New Roman"/>
                <w:sz w:val="24"/>
                <w:szCs w:val="24"/>
              </w:rPr>
            </w:pPr>
          </w:p>
        </w:tc>
        <w:tc>
          <w:tcPr>
            <w:tcW w:w="2554"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Eleverne oplever i lavere grad end på landsplan, at skolen lærer dem om etiske aspekter ved digitale medier samt sikkerhed og lovlighed </w:t>
            </w:r>
          </w:p>
        </w:tc>
        <w:tc>
          <w:tcPr>
            <w:tcW w:w="3456"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Der udformes en plan for at informere og træne eleverne i dette. </w:t>
            </w:r>
          </w:p>
        </w:tc>
        <w:tc>
          <w:tcPr>
            <w:tcW w:w="2433" w:type="dxa"/>
            <w:shd w:val="clear" w:color="auto" w:fill="auto"/>
          </w:tcPr>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Pædagogisk IT-udvalg har udarbejdet en 3-årig progressionsplan m. 4 søjler: </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1.IT i undervisningen</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2. IT og teknologi</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3. Informationssøgning</w:t>
            </w:r>
          </w:p>
          <w:p w:rsidR="004502B2" w:rsidRPr="00ED2A67" w:rsidRDefault="004502B2" w:rsidP="009D396C">
            <w:pPr>
              <w:rPr>
                <w:rFonts w:ascii="Times New Roman" w:hAnsi="Times New Roman" w:cs="Times New Roman"/>
                <w:sz w:val="24"/>
                <w:szCs w:val="24"/>
              </w:rPr>
            </w:pPr>
            <w:r w:rsidRPr="00ED2A67">
              <w:rPr>
                <w:rFonts w:ascii="Times New Roman" w:hAnsi="Times New Roman" w:cs="Times New Roman"/>
                <w:sz w:val="24"/>
                <w:szCs w:val="24"/>
              </w:rPr>
              <w:t xml:space="preserve">4. </w:t>
            </w:r>
            <w:proofErr w:type="spellStart"/>
            <w:r w:rsidRPr="00ED2A67">
              <w:rPr>
                <w:rFonts w:ascii="Times New Roman" w:hAnsi="Times New Roman" w:cs="Times New Roman"/>
                <w:sz w:val="24"/>
                <w:szCs w:val="24"/>
              </w:rPr>
              <w:t>On-line</w:t>
            </w:r>
            <w:proofErr w:type="spellEnd"/>
            <w:r w:rsidRPr="00ED2A67">
              <w:rPr>
                <w:rFonts w:ascii="Times New Roman" w:hAnsi="Times New Roman" w:cs="Times New Roman"/>
                <w:sz w:val="24"/>
                <w:szCs w:val="24"/>
              </w:rPr>
              <w:t xml:space="preserve"> livet.</w:t>
            </w:r>
          </w:p>
        </w:tc>
      </w:tr>
    </w:tbl>
    <w:p w:rsidR="004502B2" w:rsidRPr="00EF2EEB" w:rsidRDefault="004502B2" w:rsidP="004502B2">
      <w:pPr>
        <w:spacing w:line="276" w:lineRule="auto"/>
        <w:rPr>
          <w:rFonts w:ascii="Times New Roman" w:hAnsi="Times New Roman" w:cs="Times New Roman"/>
          <w:sz w:val="24"/>
          <w:szCs w:val="24"/>
        </w:rPr>
      </w:pPr>
    </w:p>
    <w:p w:rsidR="001052CE" w:rsidRDefault="001052CE" w:rsidP="006E1622">
      <w:pPr>
        <w:spacing w:line="276" w:lineRule="auto"/>
        <w:rPr>
          <w:rFonts w:ascii="Times New Roman" w:hAnsi="Times New Roman" w:cs="Times New Roman"/>
          <w:i/>
          <w:sz w:val="24"/>
          <w:szCs w:val="24"/>
        </w:rPr>
      </w:pPr>
      <w:r>
        <w:rPr>
          <w:rFonts w:ascii="Times New Roman" w:hAnsi="Times New Roman" w:cs="Times New Roman"/>
          <w:i/>
          <w:sz w:val="24"/>
          <w:szCs w:val="24"/>
        </w:rPr>
        <w:t>Konklusion: Handlingsplanen er gennemført.</w:t>
      </w:r>
    </w:p>
    <w:p w:rsidR="00095FFB" w:rsidRDefault="001052CE" w:rsidP="006E1622">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Opfølgning: </w:t>
      </w:r>
      <w:r w:rsidR="00095FFB">
        <w:rPr>
          <w:rFonts w:ascii="Times New Roman" w:hAnsi="Times New Roman" w:cs="Times New Roman"/>
          <w:i/>
          <w:sz w:val="24"/>
          <w:szCs w:val="24"/>
        </w:rPr>
        <w:t>Der arbejdes nu fremadrettet med resultaterne og handlingsplanerne fra Elevtrivselsundersøgelsen 2019.</w:t>
      </w:r>
    </w:p>
    <w:p w:rsidR="003E0186" w:rsidRDefault="00DA2BEC" w:rsidP="003E0186">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3434A8">
        <w:rPr>
          <w:rFonts w:ascii="Times New Roman" w:hAnsi="Times New Roman" w:cs="Times New Roman"/>
          <w:sz w:val="24"/>
          <w:szCs w:val="24"/>
        </w:rPr>
        <w:t xml:space="preserve">Skolens resultater ligger </w:t>
      </w:r>
      <w:r w:rsidR="003E0186">
        <w:rPr>
          <w:rFonts w:ascii="Times New Roman" w:hAnsi="Times New Roman" w:cs="Times New Roman"/>
          <w:sz w:val="24"/>
          <w:szCs w:val="24"/>
        </w:rPr>
        <w:t xml:space="preserve">over gennemsnittet i den </w:t>
      </w:r>
      <w:proofErr w:type="spellStart"/>
      <w:r w:rsidR="003E0186">
        <w:rPr>
          <w:rFonts w:ascii="Times New Roman" w:hAnsi="Times New Roman" w:cs="Times New Roman"/>
          <w:sz w:val="24"/>
          <w:szCs w:val="24"/>
        </w:rPr>
        <w:t>benchmarkgruppe</w:t>
      </w:r>
      <w:proofErr w:type="spellEnd"/>
      <w:r w:rsidR="003E0186">
        <w:rPr>
          <w:rFonts w:ascii="Times New Roman" w:hAnsi="Times New Roman" w:cs="Times New Roman"/>
          <w:sz w:val="24"/>
          <w:szCs w:val="24"/>
        </w:rPr>
        <w:t>, som vi indgår i (ca. 50 sammenlignelige skoler).</w:t>
      </w:r>
    </w:p>
    <w:p w:rsidR="006E1622" w:rsidRDefault="006E1622" w:rsidP="006E1622">
      <w:pPr>
        <w:rPr>
          <w:rFonts w:ascii="Times New Roman" w:hAnsi="Times New Roman" w:cs="Times New Roman"/>
          <w:i/>
          <w:color w:val="000000" w:themeColor="text1"/>
          <w:sz w:val="24"/>
          <w:szCs w:val="24"/>
        </w:rPr>
      </w:pPr>
      <w:r>
        <w:rPr>
          <w:rFonts w:ascii="Times New Roman" w:hAnsi="Times New Roman" w:cs="Times New Roman"/>
          <w:i/>
          <w:sz w:val="24"/>
          <w:szCs w:val="24"/>
        </w:rPr>
        <w:lastRenderedPageBreak/>
        <w:t xml:space="preserve">Der er gennemført en ny elevtrivselsundersøgelse i 2019. </w:t>
      </w:r>
      <w:r w:rsidRPr="006E1622">
        <w:rPr>
          <w:rFonts w:ascii="Times New Roman" w:hAnsi="Times New Roman" w:cs="Times New Roman"/>
          <w:i/>
          <w:sz w:val="24"/>
          <w:szCs w:val="24"/>
        </w:rPr>
        <w:t xml:space="preserve">Det har trukket meget længe ud med at få resultaterne af den obligatoriske elevtrivselsundersøgelse 2019 fra ministeriet grundet tekniske vanskeligheder. Og det har desværre ikke været muligt at </w:t>
      </w:r>
      <w:proofErr w:type="spellStart"/>
      <w:r w:rsidRPr="006E1622">
        <w:rPr>
          <w:rFonts w:ascii="Times New Roman" w:hAnsi="Times New Roman" w:cs="Times New Roman"/>
          <w:i/>
          <w:sz w:val="24"/>
          <w:szCs w:val="24"/>
        </w:rPr>
        <w:t>benchmarke</w:t>
      </w:r>
      <w:proofErr w:type="spellEnd"/>
      <w:r w:rsidRPr="006E1622">
        <w:rPr>
          <w:rFonts w:ascii="Times New Roman" w:hAnsi="Times New Roman" w:cs="Times New Roman"/>
          <w:i/>
          <w:sz w:val="24"/>
          <w:szCs w:val="24"/>
        </w:rPr>
        <w:t xml:space="preserve"> med andre skoler på alle spørgsmål i denne omgang. </w:t>
      </w:r>
      <w:r w:rsidRPr="006E1622">
        <w:rPr>
          <w:rFonts w:ascii="Times New Roman" w:hAnsi="Times New Roman" w:cs="Times New Roman"/>
          <w:i/>
          <w:color w:val="000000" w:themeColor="text1"/>
          <w:sz w:val="24"/>
          <w:szCs w:val="24"/>
        </w:rPr>
        <w:t>Dog har ministeriet offentliggjort en benchmarking med Stx-landsresultaterne for elevtrivselsundersøgelsens 5 hovedområde</w:t>
      </w:r>
      <w:r w:rsidR="00732A03">
        <w:rPr>
          <w:rFonts w:ascii="Times New Roman" w:hAnsi="Times New Roman" w:cs="Times New Roman"/>
          <w:i/>
          <w:color w:val="000000" w:themeColor="text1"/>
          <w:sz w:val="24"/>
          <w:szCs w:val="24"/>
        </w:rPr>
        <w:t>r, hvoraf det fremgår, at skolen ligger over landsgennemsnittet på alle 5 områder</w:t>
      </w:r>
      <w:r w:rsidR="00E81943">
        <w:rPr>
          <w:rFonts w:ascii="Times New Roman" w:hAnsi="Times New Roman" w:cs="Times New Roman"/>
          <w:i/>
          <w:color w:val="000000" w:themeColor="text1"/>
          <w:sz w:val="24"/>
          <w:szCs w:val="24"/>
        </w:rPr>
        <w:t>:</w:t>
      </w:r>
      <w:r w:rsidRPr="006E1622">
        <w:rPr>
          <w:rFonts w:ascii="Times New Roman" w:hAnsi="Times New Roman" w:cs="Times New Roman"/>
          <w:i/>
          <w:color w:val="000000" w:themeColor="text1"/>
          <w:sz w:val="24"/>
          <w:szCs w:val="24"/>
        </w:rPr>
        <w:t xml:space="preserve">  </w:t>
      </w:r>
    </w:p>
    <w:p w:rsidR="006E1622" w:rsidRDefault="006E1622" w:rsidP="006E1622">
      <w:pPr>
        <w:rPr>
          <w:rFonts w:ascii="Times New Roman" w:hAnsi="Times New Roman" w:cs="Times New Roman"/>
          <w:sz w:val="24"/>
          <w:szCs w:val="24"/>
        </w:rPr>
      </w:pPr>
      <w:r w:rsidRPr="005B7D52">
        <w:rPr>
          <w:rFonts w:ascii="Verdana" w:hAnsi="Verdana" w:cs="Times New Roman"/>
          <w:b/>
          <w:color w:val="000000" w:themeColor="text1"/>
          <w:sz w:val="18"/>
          <w:szCs w:val="18"/>
        </w:rPr>
        <w:t>Afdeling: Aarhus Katedralskole</w:t>
      </w:r>
      <w:r>
        <w:rPr>
          <w:noProof/>
          <w:lang w:eastAsia="da-DK"/>
        </w:rPr>
        <w:drawing>
          <wp:inline distT="0" distB="0" distL="0" distR="0" wp14:anchorId="31146121" wp14:editId="75DEF6C4">
            <wp:extent cx="4667250" cy="2437613"/>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488" b="1025"/>
                    <a:stretch/>
                  </pic:blipFill>
                  <pic:spPr bwMode="auto">
                    <a:xfrm>
                      <a:off x="0" y="0"/>
                      <a:ext cx="4756042" cy="2483987"/>
                    </a:xfrm>
                    <a:prstGeom prst="rect">
                      <a:avLst/>
                    </a:prstGeom>
                    <a:ln>
                      <a:noFill/>
                    </a:ln>
                    <a:extLst>
                      <a:ext uri="{53640926-AAD7-44D8-BBD7-CCE9431645EC}">
                        <a14:shadowObscured xmlns:a14="http://schemas.microsoft.com/office/drawing/2010/main"/>
                      </a:ext>
                    </a:extLst>
                  </pic:spPr>
                </pic:pic>
              </a:graphicData>
            </a:graphic>
          </wp:inline>
        </w:drawing>
      </w:r>
    </w:p>
    <w:p w:rsidR="006E1622" w:rsidRPr="006E1622" w:rsidRDefault="006E1622" w:rsidP="006E1622">
      <w:pPr>
        <w:rPr>
          <w:rFonts w:ascii="Times New Roman" w:hAnsi="Times New Roman" w:cs="Times New Roman"/>
          <w:i/>
          <w:sz w:val="24"/>
          <w:szCs w:val="24"/>
        </w:rPr>
      </w:pPr>
      <w:r w:rsidRPr="006E1622">
        <w:rPr>
          <w:rFonts w:ascii="Times New Roman" w:hAnsi="Times New Roman" w:cs="Times New Roman"/>
          <w:i/>
          <w:sz w:val="24"/>
          <w:szCs w:val="24"/>
        </w:rPr>
        <w:t xml:space="preserve">På skolen har et undervisningsmiljøudvalg bestående af elever, lærere og ledelse behandlet undersøgelsens resultater og på den baggrund udformet handlingsplaner. Udvalget vil også følge op på implementeringen af handlingsplanerne. </w:t>
      </w:r>
    </w:p>
    <w:p w:rsidR="006E1622" w:rsidRPr="006E1622" w:rsidRDefault="006E1622" w:rsidP="006E1622">
      <w:pPr>
        <w:rPr>
          <w:rFonts w:ascii="Times New Roman" w:hAnsi="Times New Roman" w:cs="Times New Roman"/>
          <w:i/>
          <w:sz w:val="24"/>
          <w:szCs w:val="24"/>
        </w:rPr>
      </w:pPr>
      <w:r w:rsidRPr="006E1622">
        <w:rPr>
          <w:rFonts w:ascii="Times New Roman" w:hAnsi="Times New Roman" w:cs="Times New Roman"/>
          <w:i/>
          <w:sz w:val="24"/>
          <w:szCs w:val="24"/>
        </w:rPr>
        <w:t xml:space="preserve">Undersøgelsen med tilhørende handlingsplaner er offentliggjort på skolens intranet for elever og ansatte, ligesom den ligger på skolens hjemmeside til eksterne interesserede. </w:t>
      </w:r>
    </w:p>
    <w:p w:rsidR="006E1622" w:rsidRPr="006E1622" w:rsidRDefault="006E1622" w:rsidP="006E1622">
      <w:pPr>
        <w:rPr>
          <w:rFonts w:ascii="Times New Roman" w:hAnsi="Times New Roman" w:cs="Times New Roman"/>
          <w:i/>
          <w:sz w:val="24"/>
          <w:szCs w:val="24"/>
        </w:rPr>
      </w:pPr>
      <w:r w:rsidRPr="006E1622">
        <w:rPr>
          <w:rFonts w:ascii="Times New Roman" w:hAnsi="Times New Roman" w:cs="Times New Roman"/>
          <w:i/>
          <w:sz w:val="24"/>
          <w:szCs w:val="24"/>
        </w:rPr>
        <w:t>Vi havde en svarprocent på 76 og undersøgelsens resultater er generelt meget positive. Undervisningsmiljøudvalget har i handlingsplanerne valgt at fokusere på et antal indsatsområder, som det realistisk er muligt at afslutte arbejdet med inden for det næste halve år inden næste undersøgelse.</w:t>
      </w:r>
    </w:p>
    <w:p w:rsidR="00732A03" w:rsidRPr="00732A03" w:rsidRDefault="00732A03" w:rsidP="00732A03">
      <w:pPr>
        <w:spacing w:line="276" w:lineRule="auto"/>
        <w:rPr>
          <w:rFonts w:ascii="Times New Roman" w:hAnsi="Times New Roman" w:cs="Times New Roman"/>
          <w:i/>
          <w:sz w:val="24"/>
          <w:szCs w:val="24"/>
        </w:rPr>
      </w:pPr>
      <w:r w:rsidRPr="00732A03">
        <w:rPr>
          <w:rFonts w:ascii="Times New Roman" w:hAnsi="Times New Roman" w:cs="Times New Roman"/>
          <w:i/>
          <w:sz w:val="24"/>
          <w:szCs w:val="24"/>
        </w:rPr>
        <w:t>Konklusion: Der er fulgt op på alle handlingsplanerne i elevtrivselsundersøgelsen og en ny er gennemført. Undervisningsministeriet har desværre ikke muliggjort en sammenligning på alle parametre</w:t>
      </w:r>
      <w:r w:rsidR="004502B2">
        <w:rPr>
          <w:rFonts w:ascii="Times New Roman" w:hAnsi="Times New Roman" w:cs="Times New Roman"/>
          <w:i/>
          <w:sz w:val="24"/>
          <w:szCs w:val="24"/>
        </w:rPr>
        <w:t>,</w:t>
      </w:r>
      <w:r w:rsidRPr="00732A03">
        <w:rPr>
          <w:rFonts w:ascii="Times New Roman" w:hAnsi="Times New Roman" w:cs="Times New Roman"/>
          <w:i/>
          <w:sz w:val="24"/>
          <w:szCs w:val="24"/>
        </w:rPr>
        <w:t xml:space="preserve"> men i de 5 overordnede områder ligger skolen over landsgennemsnittet</w:t>
      </w:r>
      <w:r w:rsidR="004502B2">
        <w:rPr>
          <w:rFonts w:ascii="Times New Roman" w:hAnsi="Times New Roman" w:cs="Times New Roman"/>
          <w:i/>
          <w:sz w:val="24"/>
          <w:szCs w:val="24"/>
        </w:rPr>
        <w:t>,</w:t>
      </w:r>
      <w:r w:rsidRPr="00732A03">
        <w:rPr>
          <w:rFonts w:ascii="Times New Roman" w:hAnsi="Times New Roman" w:cs="Times New Roman"/>
          <w:i/>
          <w:sz w:val="24"/>
          <w:szCs w:val="24"/>
        </w:rPr>
        <w:t xml:space="preserve"> og målet er derfor opnået.</w:t>
      </w:r>
    </w:p>
    <w:p w:rsidR="00732A03" w:rsidRPr="00732A03" w:rsidRDefault="00732A03" w:rsidP="00732A03">
      <w:pPr>
        <w:spacing w:line="276" w:lineRule="auto"/>
        <w:rPr>
          <w:rFonts w:ascii="Times New Roman" w:hAnsi="Times New Roman" w:cs="Times New Roman"/>
          <w:i/>
          <w:sz w:val="24"/>
          <w:szCs w:val="24"/>
        </w:rPr>
      </w:pPr>
      <w:r w:rsidRPr="00732A03">
        <w:rPr>
          <w:rFonts w:ascii="Times New Roman" w:hAnsi="Times New Roman" w:cs="Times New Roman"/>
          <w:i/>
          <w:sz w:val="24"/>
          <w:szCs w:val="24"/>
        </w:rPr>
        <w:t>Opfølgning: Der følges fremadrettet op på handlingsplanerne fra den nyeste elevtrivselsundersøgelse.</w:t>
      </w:r>
    </w:p>
    <w:p w:rsidR="003E0186" w:rsidRDefault="003E0186" w:rsidP="003E0186">
      <w:pPr>
        <w:spacing w:line="276" w:lineRule="auto"/>
        <w:rPr>
          <w:rFonts w:ascii="Times New Roman" w:hAnsi="Times New Roman" w:cs="Times New Roman"/>
          <w:sz w:val="24"/>
          <w:szCs w:val="24"/>
        </w:rPr>
      </w:pPr>
    </w:p>
    <w:p w:rsidR="001B6FFD" w:rsidRDefault="00DA2BEC" w:rsidP="003E0186">
      <w:pPr>
        <w:spacing w:line="276" w:lineRule="auto"/>
        <w:rPr>
          <w:rFonts w:ascii="Times New Roman" w:hAnsi="Times New Roman" w:cs="Times New Roman"/>
          <w:b/>
          <w:sz w:val="28"/>
          <w:szCs w:val="28"/>
        </w:rPr>
      </w:pPr>
      <w:r w:rsidRPr="0036691F">
        <w:rPr>
          <w:rFonts w:ascii="Times New Roman" w:hAnsi="Times New Roman" w:cs="Times New Roman"/>
          <w:b/>
          <w:sz w:val="28"/>
          <w:szCs w:val="28"/>
        </w:rPr>
        <w:t>Fastholdelse</w:t>
      </w:r>
      <w:r w:rsidR="000519EF">
        <w:rPr>
          <w:rFonts w:ascii="Times New Roman" w:hAnsi="Times New Roman" w:cs="Times New Roman"/>
          <w:b/>
          <w:sz w:val="28"/>
          <w:szCs w:val="28"/>
        </w:rPr>
        <w:t xml:space="preserve"> </w:t>
      </w:r>
    </w:p>
    <w:p w:rsidR="001B6FFD" w:rsidRDefault="001B6FFD" w:rsidP="00A308EE">
      <w:pPr>
        <w:spacing w:line="276" w:lineRule="auto"/>
        <w:rPr>
          <w:rFonts w:ascii="Times New Roman" w:hAnsi="Times New Roman" w:cs="Times New Roman"/>
          <w:sz w:val="24"/>
          <w:szCs w:val="24"/>
        </w:rPr>
      </w:pPr>
      <w:r w:rsidRPr="001B6FFD">
        <w:rPr>
          <w:rFonts w:ascii="Times New Roman" w:hAnsi="Times New Roman" w:cs="Times New Roman"/>
          <w:sz w:val="24"/>
          <w:szCs w:val="24"/>
        </w:rPr>
        <w:t xml:space="preserve">Det </w:t>
      </w:r>
      <w:r w:rsidR="003E0186">
        <w:rPr>
          <w:rFonts w:ascii="Times New Roman" w:hAnsi="Times New Roman" w:cs="Times New Roman"/>
          <w:sz w:val="24"/>
          <w:szCs w:val="24"/>
        </w:rPr>
        <w:t xml:space="preserve">er </w:t>
      </w:r>
      <w:r w:rsidRPr="001B6FFD">
        <w:rPr>
          <w:rFonts w:ascii="Times New Roman" w:hAnsi="Times New Roman" w:cs="Times New Roman"/>
          <w:sz w:val="24"/>
          <w:szCs w:val="24"/>
        </w:rPr>
        <w:t>skolens målsætning at fastholde så mange elever som muligt på uddannelsen.</w:t>
      </w:r>
      <w:r>
        <w:rPr>
          <w:rFonts w:ascii="Times New Roman" w:hAnsi="Times New Roman" w:cs="Times New Roman"/>
          <w:sz w:val="24"/>
          <w:szCs w:val="24"/>
        </w:rPr>
        <w:t xml:space="preserve"> Derfor skal elevfrafaldet nedbringes og elevernes fravær skal være lavt.</w:t>
      </w:r>
    </w:p>
    <w:p w:rsidR="001B6FFD" w:rsidRPr="00E8030A" w:rsidRDefault="001B6FFD" w:rsidP="00A308EE">
      <w:pPr>
        <w:spacing w:line="276" w:lineRule="auto"/>
        <w:rPr>
          <w:rFonts w:ascii="Times New Roman" w:hAnsi="Times New Roman" w:cs="Times New Roman"/>
          <w:b/>
          <w:sz w:val="24"/>
          <w:szCs w:val="24"/>
        </w:rPr>
      </w:pPr>
      <w:r w:rsidRPr="00E8030A">
        <w:rPr>
          <w:rFonts w:ascii="Times New Roman" w:hAnsi="Times New Roman" w:cs="Times New Roman"/>
          <w:b/>
          <w:sz w:val="24"/>
          <w:szCs w:val="24"/>
        </w:rPr>
        <w:lastRenderedPageBreak/>
        <w:t>Kvalitetsmål 19-20:</w:t>
      </w:r>
    </w:p>
    <w:p w:rsidR="001B6FFD" w:rsidRDefault="001B6FFD" w:rsidP="009E12F5">
      <w:pPr>
        <w:pStyle w:val="Listeafsnit"/>
        <w:numPr>
          <w:ilvl w:val="0"/>
          <w:numId w:val="17"/>
        </w:numPr>
        <w:spacing w:line="276" w:lineRule="auto"/>
        <w:rPr>
          <w:rFonts w:ascii="Times New Roman" w:hAnsi="Times New Roman" w:cs="Times New Roman"/>
          <w:sz w:val="24"/>
          <w:szCs w:val="24"/>
        </w:rPr>
      </w:pPr>
      <w:r w:rsidRPr="009E12F5">
        <w:rPr>
          <w:rFonts w:ascii="Times New Roman" w:hAnsi="Times New Roman" w:cs="Times New Roman"/>
          <w:sz w:val="24"/>
          <w:szCs w:val="24"/>
        </w:rPr>
        <w:t xml:space="preserve">Frafald: Skolens frafald skal nedbringes. Målet er, at skolens frafald er på niveau med eller lavere end det gennemsnitlige frafald i den sidste 5–årige periode. Frafaldet skal desuden sættes i relation til frafaldet på de øvrige 6 gymnasier i Aarhus. </w:t>
      </w:r>
    </w:p>
    <w:p w:rsidR="00587BAD" w:rsidRDefault="00587BAD" w:rsidP="00587BAD">
      <w:pPr>
        <w:pStyle w:val="Listeafsnit"/>
        <w:spacing w:line="276" w:lineRule="auto"/>
        <w:rPr>
          <w:b/>
          <w:u w:val="single"/>
        </w:rPr>
      </w:pPr>
    </w:p>
    <w:p w:rsidR="00587BAD" w:rsidRDefault="00587BAD" w:rsidP="00587BAD">
      <w:pPr>
        <w:pStyle w:val="Listeafsnit"/>
        <w:spacing w:line="276" w:lineRule="auto"/>
        <w:rPr>
          <w:rFonts w:ascii="Times New Roman" w:hAnsi="Times New Roman" w:cs="Times New Roman"/>
          <w:b/>
          <w:sz w:val="24"/>
          <w:szCs w:val="24"/>
          <w:u w:val="single"/>
        </w:rPr>
      </w:pPr>
      <w:r w:rsidRPr="00095FFB">
        <w:rPr>
          <w:rFonts w:ascii="Times New Roman" w:hAnsi="Times New Roman" w:cs="Times New Roman"/>
          <w:b/>
          <w:sz w:val="24"/>
          <w:szCs w:val="24"/>
          <w:u w:val="single"/>
        </w:rPr>
        <w:t>Skolens egne tal for perioden 201</w:t>
      </w:r>
      <w:r w:rsidR="00095FFB">
        <w:rPr>
          <w:rFonts w:ascii="Times New Roman" w:hAnsi="Times New Roman" w:cs="Times New Roman"/>
          <w:b/>
          <w:sz w:val="24"/>
          <w:szCs w:val="24"/>
          <w:u w:val="single"/>
        </w:rPr>
        <w:t>5</w:t>
      </w:r>
      <w:r w:rsidRPr="00095FFB">
        <w:rPr>
          <w:rFonts w:ascii="Times New Roman" w:hAnsi="Times New Roman" w:cs="Times New Roman"/>
          <w:b/>
          <w:sz w:val="24"/>
          <w:szCs w:val="24"/>
          <w:u w:val="single"/>
        </w:rPr>
        <w:t xml:space="preserve"> - 20</w:t>
      </w:r>
      <w:r w:rsidR="00095FFB">
        <w:rPr>
          <w:rFonts w:ascii="Times New Roman" w:hAnsi="Times New Roman" w:cs="Times New Roman"/>
          <w:b/>
          <w:sz w:val="24"/>
          <w:szCs w:val="24"/>
          <w:u w:val="single"/>
        </w:rPr>
        <w:t>20</w:t>
      </w:r>
      <w:r w:rsidRPr="00095FFB">
        <w:rPr>
          <w:rFonts w:ascii="Times New Roman" w:hAnsi="Times New Roman" w:cs="Times New Roman"/>
          <w:b/>
          <w:sz w:val="24"/>
          <w:szCs w:val="24"/>
          <w:u w:val="single"/>
        </w:rPr>
        <w:t xml:space="preserve"> </w:t>
      </w:r>
    </w:p>
    <w:p w:rsidR="00F34453" w:rsidRPr="00F34453" w:rsidRDefault="00F34453" w:rsidP="00F34453">
      <w:pPr>
        <w:spacing w:line="276" w:lineRule="auto"/>
        <w:rPr>
          <w:rFonts w:ascii="Times New Roman" w:hAnsi="Times New Roman" w:cs="Times New Roman"/>
          <w:sz w:val="24"/>
          <w:szCs w:val="24"/>
        </w:rPr>
      </w:pPr>
      <w:r>
        <w:rPr>
          <w:rFonts w:ascii="Times New Roman" w:hAnsi="Times New Roman" w:cs="Times New Roman"/>
          <w:sz w:val="24"/>
          <w:szCs w:val="24"/>
        </w:rPr>
        <w:t xml:space="preserve">Frafaldet beregnes </w:t>
      </w:r>
      <w:r w:rsidR="00625066">
        <w:rPr>
          <w:rFonts w:ascii="Times New Roman" w:hAnsi="Times New Roman" w:cs="Times New Roman"/>
          <w:sz w:val="24"/>
          <w:szCs w:val="24"/>
        </w:rPr>
        <w:t>ud fra antal elever på skolen pr. 11. august og kan derfor variere i forhold til ministeriets tal.</w:t>
      </w:r>
    </w:p>
    <w:tbl>
      <w:tblPr>
        <w:tblW w:w="9817" w:type="dxa"/>
        <w:tblInd w:w="-5" w:type="dxa"/>
        <w:tblCellMar>
          <w:left w:w="70" w:type="dxa"/>
          <w:right w:w="70" w:type="dxa"/>
        </w:tblCellMar>
        <w:tblLook w:val="04A0" w:firstRow="1" w:lastRow="0" w:firstColumn="1" w:lastColumn="0" w:noHBand="0" w:noVBand="1"/>
      </w:tblPr>
      <w:tblGrid>
        <w:gridCol w:w="568"/>
        <w:gridCol w:w="1228"/>
        <w:gridCol w:w="1251"/>
        <w:gridCol w:w="1360"/>
        <w:gridCol w:w="1271"/>
        <w:gridCol w:w="1271"/>
        <w:gridCol w:w="32"/>
        <w:gridCol w:w="1086"/>
        <w:gridCol w:w="206"/>
        <w:gridCol w:w="1544"/>
      </w:tblGrid>
      <w:tr w:rsidR="00095FFB" w:rsidRPr="00095FFB" w:rsidTr="004502B2">
        <w:trPr>
          <w:trHeight w:val="295"/>
        </w:trPr>
        <w:tc>
          <w:tcPr>
            <w:tcW w:w="568" w:type="dxa"/>
            <w:tcBorders>
              <w:top w:val="single" w:sz="4" w:space="0" w:color="auto"/>
              <w:left w:val="single" w:sz="4" w:space="0" w:color="auto"/>
              <w:bottom w:val="single" w:sz="4" w:space="0" w:color="auto"/>
              <w:right w:val="nil"/>
            </w:tcBorders>
            <w:shd w:val="clear" w:color="auto" w:fill="FFC000"/>
            <w:noWrap/>
            <w:vAlign w:val="bottom"/>
            <w:hideMark/>
          </w:tcPr>
          <w:p w:rsidR="00095FFB" w:rsidRPr="00095FFB" w:rsidRDefault="00095FFB" w:rsidP="00844F29">
            <w:pPr>
              <w:jc w:val="center"/>
              <w:rPr>
                <w:rFonts w:ascii="Times New Roman" w:hAnsi="Times New Roman" w:cs="Times New Roman"/>
                <w:b/>
                <w:bCs/>
                <w:color w:val="000000"/>
                <w:sz w:val="24"/>
                <w:szCs w:val="24"/>
              </w:rPr>
            </w:pPr>
          </w:p>
        </w:tc>
        <w:tc>
          <w:tcPr>
            <w:tcW w:w="1228" w:type="dxa"/>
            <w:tcBorders>
              <w:top w:val="single" w:sz="4" w:space="0" w:color="auto"/>
              <w:left w:val="nil"/>
              <w:bottom w:val="single" w:sz="4" w:space="0" w:color="auto"/>
              <w:right w:val="nil"/>
            </w:tcBorders>
            <w:shd w:val="clear" w:color="auto" w:fill="FFC000"/>
          </w:tcPr>
          <w:p w:rsidR="00095FFB" w:rsidRPr="00095FFB" w:rsidRDefault="00095FFB" w:rsidP="00844F29">
            <w:pPr>
              <w:rPr>
                <w:rFonts w:ascii="Times New Roman" w:hAnsi="Times New Roman" w:cs="Times New Roman"/>
                <w:b/>
                <w:bCs/>
                <w:color w:val="000000"/>
                <w:sz w:val="24"/>
                <w:szCs w:val="24"/>
              </w:rPr>
            </w:pPr>
          </w:p>
        </w:tc>
        <w:tc>
          <w:tcPr>
            <w:tcW w:w="5153" w:type="dxa"/>
            <w:gridSpan w:val="4"/>
            <w:tcBorders>
              <w:top w:val="single" w:sz="4" w:space="0" w:color="auto"/>
              <w:left w:val="nil"/>
              <w:bottom w:val="single" w:sz="4" w:space="0" w:color="auto"/>
              <w:right w:val="nil"/>
            </w:tcBorders>
            <w:shd w:val="clear" w:color="auto" w:fill="FFC000"/>
            <w:noWrap/>
            <w:vAlign w:val="bottom"/>
            <w:hideMark/>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Frafald / gennemførsel pr. 11 august 20</w:t>
            </w:r>
            <w:r>
              <w:rPr>
                <w:rFonts w:ascii="Times New Roman" w:hAnsi="Times New Roman" w:cs="Times New Roman"/>
                <w:b/>
                <w:bCs/>
                <w:color w:val="000000"/>
                <w:sz w:val="24"/>
                <w:szCs w:val="24"/>
              </w:rPr>
              <w:t>20</w:t>
            </w:r>
          </w:p>
        </w:tc>
        <w:tc>
          <w:tcPr>
            <w:tcW w:w="1324" w:type="dxa"/>
            <w:gridSpan w:val="3"/>
            <w:tcBorders>
              <w:top w:val="single" w:sz="4" w:space="0" w:color="auto"/>
              <w:left w:val="nil"/>
              <w:bottom w:val="single" w:sz="4" w:space="0" w:color="auto"/>
              <w:right w:val="nil"/>
            </w:tcBorders>
            <w:shd w:val="clear" w:color="auto" w:fill="FFC000"/>
          </w:tcPr>
          <w:p w:rsidR="00095FFB" w:rsidRPr="00095FFB" w:rsidRDefault="00095FFB" w:rsidP="00844F29">
            <w:pPr>
              <w:rPr>
                <w:rFonts w:ascii="Times New Roman" w:hAnsi="Times New Roman" w:cs="Times New Roman"/>
                <w:color w:val="000000"/>
                <w:sz w:val="24"/>
                <w:szCs w:val="24"/>
              </w:rPr>
            </w:pPr>
          </w:p>
        </w:tc>
        <w:tc>
          <w:tcPr>
            <w:tcW w:w="1544" w:type="dxa"/>
            <w:tcBorders>
              <w:top w:val="single" w:sz="4" w:space="0" w:color="auto"/>
              <w:left w:val="nil"/>
              <w:bottom w:val="single" w:sz="4" w:space="0" w:color="auto"/>
              <w:right w:val="single" w:sz="4" w:space="0" w:color="auto"/>
            </w:tcBorders>
            <w:shd w:val="clear" w:color="auto" w:fill="FFC000"/>
            <w:noWrap/>
            <w:vAlign w:val="bottom"/>
            <w:hideMark/>
          </w:tcPr>
          <w:p w:rsidR="00095FFB" w:rsidRPr="00095FFB" w:rsidRDefault="00095FFB" w:rsidP="00844F29">
            <w:pPr>
              <w:rPr>
                <w:rFonts w:ascii="Times New Roman" w:hAnsi="Times New Roman" w:cs="Times New Roman"/>
                <w:color w:val="000000"/>
                <w:sz w:val="24"/>
                <w:szCs w:val="24"/>
              </w:rPr>
            </w:pPr>
            <w:r w:rsidRPr="00095FFB">
              <w:rPr>
                <w:rFonts w:ascii="Times New Roman" w:hAnsi="Times New Roman" w:cs="Times New Roman"/>
                <w:color w:val="000000"/>
                <w:sz w:val="24"/>
                <w:szCs w:val="24"/>
              </w:rPr>
              <w:t> </w:t>
            </w:r>
          </w:p>
        </w:tc>
      </w:tr>
      <w:tr w:rsidR="00095FFB" w:rsidRPr="00095FFB" w:rsidTr="00095FFB">
        <w:trPr>
          <w:trHeight w:val="2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95FFB" w:rsidRPr="00095FFB" w:rsidRDefault="00095FFB" w:rsidP="00844F29">
            <w:pPr>
              <w:rPr>
                <w:rFonts w:ascii="Times New Roman" w:hAnsi="Times New Roman" w:cs="Times New Roman"/>
                <w:color w:val="000000"/>
                <w:sz w:val="24"/>
                <w:szCs w:val="24"/>
              </w:rPr>
            </w:pPr>
            <w:r w:rsidRPr="00095FFB">
              <w:rPr>
                <w:rFonts w:ascii="Times New Roman" w:hAnsi="Times New Roman" w:cs="Times New Roman"/>
                <w:color w:val="000000"/>
                <w:sz w:val="24"/>
                <w:szCs w:val="24"/>
              </w:rPr>
              <w:t> </w:t>
            </w:r>
          </w:p>
        </w:tc>
        <w:tc>
          <w:tcPr>
            <w:tcW w:w="1228" w:type="dxa"/>
            <w:tcBorders>
              <w:top w:val="single" w:sz="4" w:space="0" w:color="auto"/>
              <w:left w:val="nil"/>
              <w:bottom w:val="single" w:sz="4" w:space="0" w:color="auto"/>
              <w:right w:val="single" w:sz="4" w:space="0" w:color="auto"/>
            </w:tcBorders>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11.08.2015</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11.08.2016</w:t>
            </w:r>
          </w:p>
        </w:tc>
        <w:tc>
          <w:tcPr>
            <w:tcW w:w="1360" w:type="dxa"/>
            <w:tcBorders>
              <w:top w:val="nil"/>
              <w:left w:val="nil"/>
              <w:bottom w:val="single" w:sz="4" w:space="0" w:color="auto"/>
              <w:right w:val="single" w:sz="4" w:space="0" w:color="auto"/>
            </w:tcBorders>
            <w:shd w:val="clear" w:color="auto" w:fill="auto"/>
            <w:noWrap/>
            <w:vAlign w:val="bottom"/>
            <w:hideMark/>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08.08.2017</w:t>
            </w:r>
          </w:p>
        </w:tc>
        <w:tc>
          <w:tcPr>
            <w:tcW w:w="1271" w:type="dxa"/>
            <w:tcBorders>
              <w:top w:val="nil"/>
              <w:left w:val="nil"/>
              <w:bottom w:val="single" w:sz="4" w:space="0" w:color="auto"/>
              <w:right w:val="single" w:sz="4" w:space="0" w:color="auto"/>
            </w:tcBorders>
            <w:shd w:val="clear" w:color="auto" w:fill="auto"/>
            <w:noWrap/>
            <w:vAlign w:val="bottom"/>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11.08. 2018</w:t>
            </w:r>
          </w:p>
        </w:tc>
        <w:tc>
          <w:tcPr>
            <w:tcW w:w="1303" w:type="dxa"/>
            <w:gridSpan w:val="2"/>
            <w:tcBorders>
              <w:top w:val="nil"/>
              <w:left w:val="nil"/>
              <w:bottom w:val="single" w:sz="3" w:space="0" w:color="auto"/>
              <w:right w:val="single" w:sz="3" w:space="0" w:color="auto"/>
            </w:tcBorders>
            <w:shd w:val="clear" w:color="auto" w:fill="FFFFFF"/>
            <w:vAlign w:val="bottom"/>
          </w:tcPr>
          <w:p w:rsidR="00095FFB" w:rsidRPr="00095FFB" w:rsidRDefault="00095FFB" w:rsidP="00844F29">
            <w:pPr>
              <w:rPr>
                <w:rFonts w:ascii="Times New Roman" w:hAnsi="Times New Roman" w:cs="Times New Roman"/>
                <w:b/>
                <w:bCs/>
                <w:sz w:val="24"/>
                <w:szCs w:val="24"/>
              </w:rPr>
            </w:pPr>
            <w:r w:rsidRPr="00095FFB">
              <w:rPr>
                <w:rFonts w:ascii="Times New Roman" w:hAnsi="Times New Roman" w:cs="Times New Roman"/>
                <w:b/>
                <w:bCs/>
                <w:sz w:val="24"/>
                <w:szCs w:val="24"/>
              </w:rPr>
              <w:t>11.08.19</w:t>
            </w:r>
          </w:p>
        </w:tc>
        <w:tc>
          <w:tcPr>
            <w:tcW w:w="1086" w:type="dxa"/>
            <w:tcBorders>
              <w:top w:val="nil"/>
              <w:left w:val="nil"/>
              <w:bottom w:val="single" w:sz="3" w:space="0" w:color="auto"/>
              <w:right w:val="single" w:sz="4" w:space="0" w:color="auto"/>
            </w:tcBorders>
            <w:shd w:val="clear" w:color="auto" w:fill="FFFFFF"/>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11.08.20</w:t>
            </w:r>
          </w:p>
        </w:tc>
        <w:tc>
          <w:tcPr>
            <w:tcW w:w="1750" w:type="dxa"/>
            <w:gridSpan w:val="2"/>
            <w:tcBorders>
              <w:top w:val="nil"/>
              <w:left w:val="single" w:sz="4" w:space="0" w:color="auto"/>
              <w:bottom w:val="single" w:sz="3" w:space="0" w:color="auto"/>
              <w:right w:val="single" w:sz="3" w:space="0" w:color="auto"/>
            </w:tcBorders>
            <w:shd w:val="clear" w:color="auto" w:fill="FFFFFF"/>
            <w:vAlign w:val="bottom"/>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Gennemførelse</w:t>
            </w:r>
          </w:p>
        </w:tc>
      </w:tr>
      <w:tr w:rsidR="00095FFB" w:rsidRPr="00095FFB" w:rsidTr="00095FFB">
        <w:trPr>
          <w:trHeight w:val="295"/>
        </w:trPr>
        <w:tc>
          <w:tcPr>
            <w:tcW w:w="568" w:type="dxa"/>
            <w:tcBorders>
              <w:top w:val="nil"/>
              <w:left w:val="single" w:sz="4" w:space="0" w:color="auto"/>
              <w:bottom w:val="single" w:sz="4" w:space="0" w:color="auto"/>
              <w:right w:val="single" w:sz="4" w:space="0" w:color="auto"/>
            </w:tcBorders>
            <w:shd w:val="clear" w:color="auto" w:fill="auto"/>
            <w:noWrap/>
            <w:vAlign w:val="bottom"/>
          </w:tcPr>
          <w:p w:rsidR="00095FFB" w:rsidRPr="00095FFB" w:rsidRDefault="00095FFB" w:rsidP="00844F29">
            <w:pPr>
              <w:rPr>
                <w:rFonts w:ascii="Times New Roman" w:hAnsi="Times New Roman" w:cs="Times New Roman"/>
                <w:b/>
                <w:color w:val="000000"/>
                <w:sz w:val="24"/>
                <w:szCs w:val="24"/>
              </w:rPr>
            </w:pPr>
            <w:r w:rsidRPr="00095FFB">
              <w:rPr>
                <w:rFonts w:ascii="Times New Roman" w:hAnsi="Times New Roman" w:cs="Times New Roman"/>
                <w:b/>
                <w:color w:val="000000"/>
                <w:sz w:val="24"/>
                <w:szCs w:val="24"/>
              </w:rPr>
              <w:t>1.g</w:t>
            </w:r>
          </w:p>
        </w:tc>
        <w:tc>
          <w:tcPr>
            <w:tcW w:w="1228" w:type="dxa"/>
            <w:tcBorders>
              <w:top w:val="single" w:sz="4" w:space="0" w:color="auto"/>
              <w:left w:val="nil"/>
              <w:bottom w:val="single" w:sz="4" w:space="0" w:color="auto"/>
              <w:right w:val="single" w:sz="4" w:space="0" w:color="auto"/>
            </w:tcBorders>
            <w:shd w:val="clear" w:color="auto" w:fill="AEAAAA" w:themeFill="background2" w:themeFillShade="BF"/>
          </w:tcPr>
          <w:p w:rsidR="00095FFB" w:rsidRPr="00095FFB" w:rsidRDefault="00095FFB" w:rsidP="00844F29">
            <w:pPr>
              <w:rPr>
                <w:rFonts w:ascii="Times New Roman" w:hAnsi="Times New Roman" w:cs="Times New Roman"/>
                <w:b/>
                <w:bCs/>
                <w:color w:val="000000"/>
                <w:sz w:val="24"/>
                <w:szCs w:val="24"/>
              </w:rPr>
            </w:pPr>
          </w:p>
        </w:tc>
        <w:tc>
          <w:tcPr>
            <w:tcW w:w="1251" w:type="dxa"/>
            <w:tcBorders>
              <w:top w:val="nil"/>
              <w:left w:val="single" w:sz="4" w:space="0" w:color="auto"/>
              <w:bottom w:val="single" w:sz="4" w:space="0" w:color="auto"/>
              <w:right w:val="single" w:sz="4" w:space="0" w:color="auto"/>
            </w:tcBorders>
            <w:shd w:val="clear" w:color="auto" w:fill="AEAAAA" w:themeFill="background2" w:themeFillShade="BF"/>
            <w:noWrap/>
            <w:vAlign w:val="bottom"/>
          </w:tcPr>
          <w:p w:rsidR="00095FFB" w:rsidRPr="00095FFB" w:rsidRDefault="00095FFB" w:rsidP="00844F29">
            <w:pPr>
              <w:rPr>
                <w:rFonts w:ascii="Times New Roman" w:hAnsi="Times New Roman" w:cs="Times New Roman"/>
                <w:b/>
                <w:bCs/>
                <w:color w:val="000000"/>
                <w:sz w:val="24"/>
                <w:szCs w:val="24"/>
              </w:rPr>
            </w:pPr>
          </w:p>
        </w:tc>
        <w:tc>
          <w:tcPr>
            <w:tcW w:w="1360" w:type="dxa"/>
            <w:tcBorders>
              <w:top w:val="nil"/>
              <w:left w:val="nil"/>
              <w:bottom w:val="single" w:sz="4" w:space="0" w:color="auto"/>
              <w:right w:val="single" w:sz="4" w:space="0" w:color="auto"/>
            </w:tcBorders>
            <w:shd w:val="clear" w:color="auto" w:fill="AEAAAA" w:themeFill="background2" w:themeFillShade="BF"/>
            <w:noWrap/>
            <w:vAlign w:val="bottom"/>
          </w:tcPr>
          <w:p w:rsidR="00095FFB" w:rsidRPr="00095FFB" w:rsidRDefault="00095FFB" w:rsidP="00844F29">
            <w:pPr>
              <w:rPr>
                <w:rFonts w:ascii="Times New Roman" w:hAnsi="Times New Roman" w:cs="Times New Roman"/>
                <w:b/>
                <w:bCs/>
                <w:color w:val="000000"/>
                <w:sz w:val="24"/>
                <w:szCs w:val="24"/>
              </w:rPr>
            </w:pPr>
          </w:p>
        </w:tc>
        <w:tc>
          <w:tcPr>
            <w:tcW w:w="1271" w:type="dxa"/>
            <w:tcBorders>
              <w:top w:val="nil"/>
              <w:left w:val="nil"/>
              <w:bottom w:val="single" w:sz="4" w:space="0" w:color="auto"/>
              <w:right w:val="single" w:sz="4" w:space="0" w:color="auto"/>
            </w:tcBorders>
            <w:shd w:val="clear" w:color="auto" w:fill="AEAAAA" w:themeFill="background2" w:themeFillShade="BF"/>
            <w:noWrap/>
            <w:vAlign w:val="bottom"/>
          </w:tcPr>
          <w:p w:rsidR="00095FFB" w:rsidRPr="00095FFB" w:rsidRDefault="00095FFB" w:rsidP="00844F29">
            <w:pPr>
              <w:rPr>
                <w:rFonts w:ascii="Times New Roman" w:hAnsi="Times New Roman" w:cs="Times New Roman"/>
                <w:b/>
                <w:bCs/>
                <w:color w:val="000000"/>
                <w:sz w:val="24"/>
                <w:szCs w:val="24"/>
              </w:rPr>
            </w:pPr>
          </w:p>
        </w:tc>
        <w:tc>
          <w:tcPr>
            <w:tcW w:w="1303" w:type="dxa"/>
            <w:gridSpan w:val="2"/>
            <w:tcBorders>
              <w:top w:val="nil"/>
              <w:left w:val="nil"/>
              <w:bottom w:val="single" w:sz="3" w:space="0" w:color="auto"/>
              <w:right w:val="single" w:sz="3" w:space="0" w:color="auto"/>
            </w:tcBorders>
            <w:shd w:val="clear" w:color="auto" w:fill="FFFFFF"/>
            <w:vAlign w:val="bottom"/>
          </w:tcPr>
          <w:p w:rsidR="00095FFB" w:rsidRPr="00095FFB" w:rsidRDefault="00095FFB" w:rsidP="000B2C9E">
            <w:pPr>
              <w:jc w:val="right"/>
              <w:rPr>
                <w:rFonts w:ascii="Times New Roman" w:hAnsi="Times New Roman" w:cs="Times New Roman"/>
                <w:bCs/>
                <w:sz w:val="24"/>
                <w:szCs w:val="24"/>
              </w:rPr>
            </w:pPr>
            <w:r w:rsidRPr="00095FFB">
              <w:rPr>
                <w:rFonts w:ascii="Times New Roman" w:hAnsi="Times New Roman" w:cs="Times New Roman"/>
                <w:bCs/>
                <w:sz w:val="24"/>
                <w:szCs w:val="24"/>
              </w:rPr>
              <w:t>283</w:t>
            </w:r>
          </w:p>
        </w:tc>
        <w:tc>
          <w:tcPr>
            <w:tcW w:w="1086" w:type="dxa"/>
            <w:tcBorders>
              <w:top w:val="nil"/>
              <w:left w:val="nil"/>
              <w:bottom w:val="single" w:sz="3" w:space="0" w:color="auto"/>
              <w:right w:val="single" w:sz="4" w:space="0" w:color="auto"/>
            </w:tcBorders>
            <w:shd w:val="clear" w:color="auto" w:fill="FFFFFF"/>
          </w:tcPr>
          <w:p w:rsidR="00095FFB" w:rsidRPr="00095FFB" w:rsidRDefault="00095FFB" w:rsidP="000B2C9E">
            <w:pPr>
              <w:jc w:val="right"/>
              <w:rPr>
                <w:rFonts w:ascii="Times New Roman" w:hAnsi="Times New Roman" w:cs="Times New Roman"/>
                <w:bCs/>
                <w:color w:val="000000"/>
                <w:sz w:val="24"/>
                <w:szCs w:val="24"/>
              </w:rPr>
            </w:pPr>
            <w:r w:rsidRPr="00095FFB">
              <w:rPr>
                <w:rFonts w:ascii="Times New Roman" w:hAnsi="Times New Roman" w:cs="Times New Roman"/>
                <w:bCs/>
                <w:color w:val="000000"/>
                <w:sz w:val="24"/>
                <w:szCs w:val="24"/>
              </w:rPr>
              <w:t>280</w:t>
            </w:r>
          </w:p>
        </w:tc>
        <w:tc>
          <w:tcPr>
            <w:tcW w:w="1750" w:type="dxa"/>
            <w:gridSpan w:val="2"/>
            <w:tcBorders>
              <w:top w:val="nil"/>
              <w:left w:val="single" w:sz="4" w:space="0" w:color="auto"/>
              <w:bottom w:val="single" w:sz="3" w:space="0" w:color="auto"/>
              <w:right w:val="single" w:sz="3" w:space="0" w:color="auto"/>
            </w:tcBorders>
            <w:shd w:val="clear" w:color="auto" w:fill="FFFFFF"/>
            <w:vAlign w:val="bottom"/>
          </w:tcPr>
          <w:p w:rsidR="00095FFB" w:rsidRPr="00095FFB" w:rsidRDefault="00095FFB" w:rsidP="000B2C9E">
            <w:pPr>
              <w:jc w:val="right"/>
              <w:rPr>
                <w:rFonts w:ascii="Times New Roman" w:hAnsi="Times New Roman" w:cs="Times New Roman"/>
                <w:bCs/>
                <w:color w:val="000000"/>
                <w:sz w:val="24"/>
                <w:szCs w:val="24"/>
              </w:rPr>
            </w:pPr>
            <w:r w:rsidRPr="00095FFB">
              <w:rPr>
                <w:rFonts w:ascii="Times New Roman" w:hAnsi="Times New Roman" w:cs="Times New Roman"/>
                <w:bCs/>
                <w:color w:val="000000"/>
                <w:sz w:val="24"/>
                <w:szCs w:val="24"/>
              </w:rPr>
              <w:t>99%</w:t>
            </w:r>
          </w:p>
        </w:tc>
      </w:tr>
      <w:tr w:rsidR="00095FFB" w:rsidRPr="00095FFB" w:rsidTr="00095FFB">
        <w:trPr>
          <w:trHeight w:val="295"/>
        </w:trPr>
        <w:tc>
          <w:tcPr>
            <w:tcW w:w="568" w:type="dxa"/>
            <w:tcBorders>
              <w:top w:val="nil"/>
              <w:left w:val="single" w:sz="4" w:space="0" w:color="auto"/>
              <w:bottom w:val="single" w:sz="4" w:space="0" w:color="auto"/>
              <w:right w:val="single" w:sz="4" w:space="0" w:color="auto"/>
            </w:tcBorders>
            <w:shd w:val="clear" w:color="auto" w:fill="auto"/>
            <w:noWrap/>
            <w:vAlign w:val="bottom"/>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 xml:space="preserve">2.g </w:t>
            </w:r>
          </w:p>
        </w:tc>
        <w:tc>
          <w:tcPr>
            <w:tcW w:w="1228" w:type="dxa"/>
            <w:tcBorders>
              <w:top w:val="single" w:sz="4" w:space="0" w:color="auto"/>
              <w:left w:val="nil"/>
              <w:bottom w:val="single" w:sz="4" w:space="0" w:color="auto"/>
              <w:right w:val="single" w:sz="4" w:space="0" w:color="auto"/>
            </w:tcBorders>
            <w:shd w:val="clear" w:color="auto" w:fill="A6A6A6"/>
          </w:tcPr>
          <w:p w:rsidR="00095FFB" w:rsidRPr="00095FFB" w:rsidRDefault="00095FFB" w:rsidP="00844F29">
            <w:pPr>
              <w:rPr>
                <w:rFonts w:ascii="Times New Roman" w:hAnsi="Times New Roman" w:cs="Times New Roman"/>
                <w:color w:val="000000"/>
                <w:sz w:val="24"/>
                <w:szCs w:val="24"/>
              </w:rPr>
            </w:pPr>
          </w:p>
        </w:tc>
        <w:tc>
          <w:tcPr>
            <w:tcW w:w="1251" w:type="dxa"/>
            <w:tcBorders>
              <w:top w:val="nil"/>
              <w:left w:val="single" w:sz="4" w:space="0" w:color="auto"/>
              <w:bottom w:val="single" w:sz="4" w:space="0" w:color="auto"/>
              <w:right w:val="nil"/>
            </w:tcBorders>
            <w:shd w:val="clear" w:color="auto" w:fill="A6A6A6"/>
            <w:noWrap/>
            <w:vAlign w:val="bottom"/>
          </w:tcPr>
          <w:p w:rsidR="00095FFB" w:rsidRPr="00095FFB" w:rsidRDefault="00095FFB" w:rsidP="00844F29">
            <w:pPr>
              <w:rPr>
                <w:rFonts w:ascii="Times New Roman" w:hAnsi="Times New Roman" w:cs="Times New Roman"/>
                <w:color w:val="000000"/>
                <w:sz w:val="24"/>
                <w:szCs w:val="24"/>
              </w:rPr>
            </w:pPr>
          </w:p>
        </w:tc>
        <w:tc>
          <w:tcPr>
            <w:tcW w:w="1360" w:type="dxa"/>
            <w:tcBorders>
              <w:top w:val="nil"/>
              <w:left w:val="single" w:sz="4" w:space="0" w:color="auto"/>
              <w:bottom w:val="single" w:sz="4" w:space="0" w:color="auto"/>
              <w:right w:val="single" w:sz="4" w:space="0" w:color="auto"/>
            </w:tcBorders>
            <w:shd w:val="clear" w:color="auto" w:fill="A6A6A6"/>
            <w:noWrap/>
            <w:vAlign w:val="bottom"/>
          </w:tcPr>
          <w:p w:rsidR="00095FFB" w:rsidRPr="00095FFB" w:rsidRDefault="00095FFB" w:rsidP="00844F29">
            <w:pPr>
              <w:jc w:val="right"/>
              <w:rPr>
                <w:rFonts w:ascii="Times New Roman" w:hAnsi="Times New Roman" w:cs="Times New Roman"/>
                <w:color w:val="000000"/>
                <w:sz w:val="24"/>
                <w:szCs w:val="24"/>
              </w:rPr>
            </w:pPr>
          </w:p>
        </w:tc>
        <w:tc>
          <w:tcPr>
            <w:tcW w:w="1271" w:type="dxa"/>
            <w:tcBorders>
              <w:top w:val="nil"/>
              <w:left w:val="nil"/>
              <w:bottom w:val="single" w:sz="4" w:space="0" w:color="auto"/>
              <w:right w:val="single" w:sz="4" w:space="0" w:color="auto"/>
            </w:tcBorders>
            <w:shd w:val="clear" w:color="auto" w:fill="auto"/>
            <w:noWrap/>
            <w:vAlign w:val="bottom"/>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308</w:t>
            </w:r>
          </w:p>
        </w:tc>
        <w:tc>
          <w:tcPr>
            <w:tcW w:w="1303" w:type="dxa"/>
            <w:gridSpan w:val="2"/>
            <w:tcBorders>
              <w:top w:val="nil"/>
              <w:left w:val="nil"/>
              <w:bottom w:val="single" w:sz="3" w:space="0" w:color="auto"/>
              <w:right w:val="single" w:sz="3" w:space="0" w:color="auto"/>
            </w:tcBorders>
            <w:vAlign w:val="bottom"/>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302</w:t>
            </w:r>
          </w:p>
        </w:tc>
        <w:tc>
          <w:tcPr>
            <w:tcW w:w="1086" w:type="dxa"/>
            <w:tcBorders>
              <w:top w:val="nil"/>
              <w:left w:val="nil"/>
              <w:bottom w:val="single" w:sz="3" w:space="0" w:color="auto"/>
              <w:right w:val="single" w:sz="4" w:space="0" w:color="auto"/>
            </w:tcBorders>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280</w:t>
            </w:r>
          </w:p>
        </w:tc>
        <w:tc>
          <w:tcPr>
            <w:tcW w:w="1750" w:type="dxa"/>
            <w:gridSpan w:val="2"/>
            <w:tcBorders>
              <w:top w:val="nil"/>
              <w:left w:val="single" w:sz="4" w:space="0" w:color="auto"/>
              <w:bottom w:val="single" w:sz="3" w:space="0" w:color="auto"/>
              <w:right w:val="single" w:sz="3" w:space="0" w:color="auto"/>
            </w:tcBorders>
            <w:vAlign w:val="bottom"/>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91%</w:t>
            </w:r>
          </w:p>
        </w:tc>
      </w:tr>
      <w:tr w:rsidR="00095FFB" w:rsidRPr="00095FFB" w:rsidTr="00095FFB">
        <w:trPr>
          <w:trHeight w:val="295"/>
        </w:trPr>
        <w:tc>
          <w:tcPr>
            <w:tcW w:w="568" w:type="dxa"/>
            <w:tcBorders>
              <w:top w:val="nil"/>
              <w:left w:val="single" w:sz="4" w:space="0" w:color="auto"/>
              <w:bottom w:val="single" w:sz="4" w:space="0" w:color="auto"/>
              <w:right w:val="single" w:sz="4" w:space="0" w:color="auto"/>
            </w:tcBorders>
            <w:shd w:val="clear" w:color="auto" w:fill="auto"/>
            <w:noWrap/>
            <w:vAlign w:val="bottom"/>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3.g</w:t>
            </w:r>
          </w:p>
        </w:tc>
        <w:tc>
          <w:tcPr>
            <w:tcW w:w="1228" w:type="dxa"/>
            <w:tcBorders>
              <w:top w:val="single" w:sz="4" w:space="0" w:color="auto"/>
              <w:left w:val="nil"/>
              <w:bottom w:val="single" w:sz="4" w:space="0" w:color="auto"/>
              <w:right w:val="single" w:sz="4" w:space="0" w:color="auto"/>
            </w:tcBorders>
            <w:shd w:val="clear" w:color="auto" w:fill="A6A6A6"/>
          </w:tcPr>
          <w:p w:rsidR="00095FFB" w:rsidRPr="00095FFB" w:rsidRDefault="00095FFB" w:rsidP="00844F29">
            <w:pPr>
              <w:rPr>
                <w:rFonts w:ascii="Times New Roman" w:hAnsi="Times New Roman" w:cs="Times New Roman"/>
                <w:color w:val="000000"/>
                <w:sz w:val="24"/>
                <w:szCs w:val="24"/>
              </w:rPr>
            </w:pPr>
          </w:p>
        </w:tc>
        <w:tc>
          <w:tcPr>
            <w:tcW w:w="1251" w:type="dxa"/>
            <w:tcBorders>
              <w:top w:val="single" w:sz="4" w:space="0" w:color="auto"/>
              <w:left w:val="single" w:sz="4" w:space="0" w:color="auto"/>
              <w:bottom w:val="single" w:sz="4" w:space="0" w:color="auto"/>
              <w:right w:val="nil"/>
            </w:tcBorders>
            <w:shd w:val="clear" w:color="000000" w:fill="A6A6A6"/>
            <w:noWrap/>
            <w:vAlign w:val="bottom"/>
            <w:hideMark/>
          </w:tcPr>
          <w:p w:rsidR="00095FFB" w:rsidRPr="00095FFB" w:rsidRDefault="00095FFB" w:rsidP="00844F29">
            <w:pPr>
              <w:rPr>
                <w:rFonts w:ascii="Times New Roman" w:hAnsi="Times New Roman" w:cs="Times New Roman"/>
                <w:color w:val="000000"/>
                <w:sz w:val="24"/>
                <w:szCs w:val="24"/>
              </w:rPr>
            </w:pPr>
            <w:r w:rsidRPr="00095FFB">
              <w:rPr>
                <w:rFonts w:ascii="Times New Roman" w:hAnsi="Times New Roman" w:cs="Times New Roman"/>
                <w:color w:val="000000"/>
                <w:sz w:val="24"/>
                <w:szCs w:val="24"/>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310</w:t>
            </w:r>
          </w:p>
        </w:tc>
        <w:tc>
          <w:tcPr>
            <w:tcW w:w="1271" w:type="dxa"/>
            <w:tcBorders>
              <w:top w:val="nil"/>
              <w:left w:val="nil"/>
              <w:bottom w:val="single" w:sz="4" w:space="0" w:color="auto"/>
              <w:right w:val="single" w:sz="4" w:space="0" w:color="auto"/>
            </w:tcBorders>
            <w:shd w:val="clear" w:color="auto" w:fill="auto"/>
            <w:noWrap/>
            <w:vAlign w:val="bottom"/>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290</w:t>
            </w:r>
          </w:p>
        </w:tc>
        <w:tc>
          <w:tcPr>
            <w:tcW w:w="1303" w:type="dxa"/>
            <w:gridSpan w:val="2"/>
            <w:tcBorders>
              <w:top w:val="nil"/>
              <w:left w:val="nil"/>
              <w:bottom w:val="single" w:sz="3" w:space="0" w:color="auto"/>
              <w:right w:val="single" w:sz="3" w:space="0" w:color="auto"/>
            </w:tcBorders>
            <w:vAlign w:val="bottom"/>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273</w:t>
            </w:r>
          </w:p>
        </w:tc>
        <w:tc>
          <w:tcPr>
            <w:tcW w:w="1086" w:type="dxa"/>
            <w:tcBorders>
              <w:top w:val="nil"/>
              <w:left w:val="nil"/>
              <w:bottom w:val="single" w:sz="3" w:space="0" w:color="auto"/>
              <w:right w:val="single" w:sz="4" w:space="0" w:color="auto"/>
            </w:tcBorders>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268</w:t>
            </w:r>
          </w:p>
        </w:tc>
        <w:tc>
          <w:tcPr>
            <w:tcW w:w="1750" w:type="dxa"/>
            <w:gridSpan w:val="2"/>
            <w:tcBorders>
              <w:top w:val="nil"/>
              <w:left w:val="single" w:sz="4" w:space="0" w:color="auto"/>
              <w:bottom w:val="single" w:sz="3" w:space="0" w:color="auto"/>
              <w:right w:val="single" w:sz="3" w:space="0" w:color="auto"/>
            </w:tcBorders>
            <w:vAlign w:val="bottom"/>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86%</w:t>
            </w:r>
          </w:p>
        </w:tc>
      </w:tr>
      <w:tr w:rsidR="00095FFB" w:rsidRPr="00095FFB" w:rsidTr="00095FFB">
        <w:trPr>
          <w:trHeight w:val="295"/>
        </w:trPr>
        <w:tc>
          <w:tcPr>
            <w:tcW w:w="568" w:type="dxa"/>
            <w:tcBorders>
              <w:top w:val="nil"/>
              <w:left w:val="single" w:sz="4" w:space="0" w:color="auto"/>
              <w:bottom w:val="single" w:sz="4" w:space="0" w:color="auto"/>
              <w:right w:val="single" w:sz="4" w:space="0" w:color="auto"/>
            </w:tcBorders>
            <w:shd w:val="clear" w:color="auto" w:fill="auto"/>
            <w:noWrap/>
            <w:vAlign w:val="bottom"/>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3.g</w:t>
            </w:r>
          </w:p>
        </w:tc>
        <w:tc>
          <w:tcPr>
            <w:tcW w:w="1228" w:type="dxa"/>
            <w:tcBorders>
              <w:top w:val="single" w:sz="4" w:space="0" w:color="auto"/>
              <w:left w:val="single" w:sz="4" w:space="0" w:color="auto"/>
              <w:bottom w:val="single" w:sz="4" w:space="0" w:color="auto"/>
              <w:right w:val="single" w:sz="4" w:space="0" w:color="auto"/>
            </w:tcBorders>
            <w:shd w:val="clear" w:color="auto" w:fill="A6A6A6"/>
          </w:tcPr>
          <w:p w:rsidR="00095FFB" w:rsidRPr="00095FFB" w:rsidRDefault="00095FFB" w:rsidP="00844F29">
            <w:pPr>
              <w:jc w:val="right"/>
              <w:rPr>
                <w:rFonts w:ascii="Times New Roman" w:hAnsi="Times New Roman" w:cs="Times New Roman"/>
                <w:color w:val="000000"/>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310</w:t>
            </w:r>
          </w:p>
        </w:tc>
        <w:tc>
          <w:tcPr>
            <w:tcW w:w="1360" w:type="dxa"/>
            <w:tcBorders>
              <w:top w:val="nil"/>
              <w:left w:val="nil"/>
              <w:bottom w:val="single" w:sz="4" w:space="0" w:color="auto"/>
              <w:right w:val="single" w:sz="4" w:space="0" w:color="auto"/>
            </w:tcBorders>
            <w:shd w:val="clear" w:color="auto" w:fill="auto"/>
            <w:noWrap/>
            <w:vAlign w:val="bottom"/>
            <w:hideMark/>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306</w:t>
            </w:r>
          </w:p>
        </w:tc>
        <w:tc>
          <w:tcPr>
            <w:tcW w:w="1271" w:type="dxa"/>
            <w:tcBorders>
              <w:top w:val="nil"/>
              <w:left w:val="nil"/>
              <w:bottom w:val="single" w:sz="4" w:space="0" w:color="auto"/>
              <w:right w:val="single" w:sz="4" w:space="0" w:color="auto"/>
            </w:tcBorders>
            <w:shd w:val="clear" w:color="auto" w:fill="auto"/>
            <w:noWrap/>
            <w:vAlign w:val="bottom"/>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301</w:t>
            </w:r>
          </w:p>
        </w:tc>
        <w:tc>
          <w:tcPr>
            <w:tcW w:w="1303" w:type="dxa"/>
            <w:gridSpan w:val="2"/>
            <w:tcBorders>
              <w:top w:val="nil"/>
              <w:left w:val="nil"/>
              <w:bottom w:val="single" w:sz="3" w:space="0" w:color="auto"/>
              <w:right w:val="single" w:sz="3" w:space="0" w:color="auto"/>
            </w:tcBorders>
            <w:vAlign w:val="bottom"/>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296</w:t>
            </w:r>
          </w:p>
        </w:tc>
        <w:tc>
          <w:tcPr>
            <w:tcW w:w="1086" w:type="dxa"/>
            <w:tcBorders>
              <w:top w:val="nil"/>
              <w:left w:val="nil"/>
              <w:bottom w:val="single" w:sz="3" w:space="0" w:color="auto"/>
              <w:right w:val="single" w:sz="4" w:space="0" w:color="auto"/>
            </w:tcBorders>
            <w:shd w:val="clear" w:color="auto" w:fill="AEAAAA" w:themeFill="background2" w:themeFillShade="BF"/>
          </w:tcPr>
          <w:p w:rsidR="00095FFB" w:rsidRPr="00095FFB" w:rsidRDefault="00095FFB" w:rsidP="00844F29">
            <w:pPr>
              <w:jc w:val="right"/>
              <w:rPr>
                <w:rFonts w:ascii="Times New Roman" w:hAnsi="Times New Roman" w:cs="Times New Roman"/>
                <w:sz w:val="24"/>
                <w:szCs w:val="24"/>
              </w:rPr>
            </w:pPr>
          </w:p>
        </w:tc>
        <w:tc>
          <w:tcPr>
            <w:tcW w:w="1750" w:type="dxa"/>
            <w:gridSpan w:val="2"/>
            <w:tcBorders>
              <w:top w:val="nil"/>
              <w:left w:val="single" w:sz="4" w:space="0" w:color="auto"/>
              <w:bottom w:val="single" w:sz="3" w:space="0" w:color="auto"/>
              <w:right w:val="single" w:sz="3" w:space="0" w:color="auto"/>
            </w:tcBorders>
            <w:vAlign w:val="bottom"/>
          </w:tcPr>
          <w:p w:rsidR="00095FFB" w:rsidRPr="00095FFB" w:rsidRDefault="00095FFB" w:rsidP="00844F29">
            <w:pPr>
              <w:jc w:val="right"/>
              <w:rPr>
                <w:rFonts w:ascii="Times New Roman" w:hAnsi="Times New Roman" w:cs="Times New Roman"/>
                <w:sz w:val="24"/>
                <w:szCs w:val="24"/>
              </w:rPr>
            </w:pPr>
            <w:r w:rsidRPr="00095FFB">
              <w:rPr>
                <w:rFonts w:ascii="Times New Roman" w:hAnsi="Times New Roman" w:cs="Times New Roman"/>
                <w:sz w:val="24"/>
                <w:szCs w:val="24"/>
              </w:rPr>
              <w:t>95%</w:t>
            </w:r>
          </w:p>
        </w:tc>
      </w:tr>
      <w:tr w:rsidR="00095FFB" w:rsidRPr="00095FFB" w:rsidTr="00095FFB">
        <w:trPr>
          <w:trHeight w:val="2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FB" w:rsidRPr="00095FFB" w:rsidRDefault="00095FFB" w:rsidP="00844F29">
            <w:pPr>
              <w:rPr>
                <w:rFonts w:ascii="Times New Roman" w:hAnsi="Times New Roman" w:cs="Times New Roman"/>
                <w:b/>
                <w:bCs/>
                <w:color w:val="000000"/>
                <w:sz w:val="24"/>
                <w:szCs w:val="24"/>
              </w:rPr>
            </w:pPr>
            <w:r w:rsidRPr="00095FFB">
              <w:rPr>
                <w:rFonts w:ascii="Times New Roman" w:hAnsi="Times New Roman" w:cs="Times New Roman"/>
                <w:b/>
                <w:bCs/>
                <w:color w:val="000000"/>
                <w:sz w:val="24"/>
                <w:szCs w:val="24"/>
              </w:rPr>
              <w:t>3.g</w:t>
            </w:r>
          </w:p>
        </w:tc>
        <w:tc>
          <w:tcPr>
            <w:tcW w:w="1228" w:type="dxa"/>
            <w:tcBorders>
              <w:top w:val="single" w:sz="4" w:space="0" w:color="auto"/>
              <w:left w:val="single" w:sz="4" w:space="0" w:color="auto"/>
              <w:bottom w:val="single" w:sz="4" w:space="0" w:color="auto"/>
              <w:right w:val="single" w:sz="4" w:space="0" w:color="auto"/>
            </w:tcBorders>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311</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292</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261</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255</w:t>
            </w:r>
          </w:p>
        </w:tc>
        <w:tc>
          <w:tcPr>
            <w:tcW w:w="1303" w:type="dxa"/>
            <w:gridSpan w:val="2"/>
            <w:tcBorders>
              <w:top w:val="single" w:sz="4" w:space="0" w:color="auto"/>
              <w:left w:val="nil"/>
              <w:bottom w:val="single" w:sz="4" w:space="0" w:color="auto"/>
              <w:right w:val="single" w:sz="4" w:space="0" w:color="auto"/>
            </w:tcBorders>
            <w:shd w:val="clear" w:color="auto" w:fill="A6A6A6"/>
            <w:vAlign w:val="bottom"/>
          </w:tcPr>
          <w:p w:rsidR="00095FFB" w:rsidRPr="00095FFB" w:rsidRDefault="00095FFB" w:rsidP="00844F29">
            <w:pPr>
              <w:jc w:val="right"/>
              <w:rPr>
                <w:rFonts w:ascii="Times New Roman" w:hAnsi="Times New Roman" w:cs="Times New Roman"/>
                <w:color w:val="000000"/>
                <w:sz w:val="24"/>
                <w:szCs w:val="24"/>
              </w:rPr>
            </w:pPr>
          </w:p>
        </w:tc>
        <w:tc>
          <w:tcPr>
            <w:tcW w:w="1086" w:type="dxa"/>
            <w:tcBorders>
              <w:top w:val="single" w:sz="4" w:space="0" w:color="auto"/>
              <w:left w:val="nil"/>
              <w:bottom w:val="single" w:sz="4" w:space="0" w:color="auto"/>
              <w:right w:val="single" w:sz="4" w:space="0" w:color="auto"/>
            </w:tcBorders>
            <w:shd w:val="clear" w:color="auto" w:fill="AEAAAA" w:themeFill="background2" w:themeFillShade="BF"/>
          </w:tcPr>
          <w:p w:rsidR="00095FFB" w:rsidRPr="00095FFB" w:rsidRDefault="00095FFB" w:rsidP="00844F29">
            <w:pPr>
              <w:jc w:val="right"/>
              <w:rPr>
                <w:rFonts w:ascii="Times New Roman" w:hAnsi="Times New Roman" w:cs="Times New Roman"/>
                <w:color w:val="000000"/>
                <w:sz w:val="24"/>
                <w:szCs w:val="24"/>
              </w:rPr>
            </w:pPr>
          </w:p>
        </w:tc>
        <w:tc>
          <w:tcPr>
            <w:tcW w:w="1750" w:type="dxa"/>
            <w:gridSpan w:val="2"/>
            <w:tcBorders>
              <w:top w:val="single" w:sz="4" w:space="0" w:color="auto"/>
              <w:left w:val="single" w:sz="4" w:space="0" w:color="auto"/>
              <w:bottom w:val="single" w:sz="4" w:space="0" w:color="auto"/>
              <w:right w:val="single" w:sz="4" w:space="0" w:color="auto"/>
            </w:tcBorders>
            <w:vAlign w:val="bottom"/>
          </w:tcPr>
          <w:p w:rsidR="00095FFB" w:rsidRPr="00095FFB" w:rsidRDefault="00095FFB" w:rsidP="00844F29">
            <w:pPr>
              <w:jc w:val="right"/>
              <w:rPr>
                <w:rFonts w:ascii="Times New Roman" w:hAnsi="Times New Roman" w:cs="Times New Roman"/>
                <w:color w:val="000000"/>
                <w:sz w:val="24"/>
                <w:szCs w:val="24"/>
              </w:rPr>
            </w:pPr>
            <w:r w:rsidRPr="00095FFB">
              <w:rPr>
                <w:rFonts w:ascii="Times New Roman" w:hAnsi="Times New Roman" w:cs="Times New Roman"/>
                <w:color w:val="000000"/>
                <w:sz w:val="24"/>
                <w:szCs w:val="24"/>
              </w:rPr>
              <w:t>82%</w:t>
            </w:r>
          </w:p>
        </w:tc>
      </w:tr>
    </w:tbl>
    <w:p w:rsidR="00587BAD" w:rsidRDefault="00587BAD" w:rsidP="00587BAD">
      <w:pPr>
        <w:spacing w:before="240"/>
      </w:pPr>
      <w:r>
        <w:t xml:space="preserve">                                 </w:t>
      </w:r>
    </w:p>
    <w:p w:rsidR="00587BAD" w:rsidRPr="00587BAD" w:rsidRDefault="00587BAD" w:rsidP="00587BAD">
      <w:pPr>
        <w:pStyle w:val="Listeafsnit"/>
        <w:spacing w:before="240"/>
        <w:rPr>
          <w:rFonts w:ascii="Times New Roman" w:hAnsi="Times New Roman" w:cs="Times New Roman"/>
          <w:b/>
          <w:u w:val="single"/>
        </w:rPr>
      </w:pPr>
      <w:r w:rsidRPr="00587BAD">
        <w:rPr>
          <w:rFonts w:ascii="Times New Roman" w:hAnsi="Times New Roman" w:cs="Times New Roman"/>
          <w:b/>
          <w:u w:val="single"/>
        </w:rPr>
        <w:t xml:space="preserve">Fra Undervisningsministeriets database </w:t>
      </w:r>
    </w:p>
    <w:p w:rsidR="00587BAD" w:rsidRPr="00587BAD" w:rsidRDefault="00587BAD" w:rsidP="00587BAD">
      <w:pPr>
        <w:pStyle w:val="Listeafsnit"/>
        <w:spacing w:before="240"/>
        <w:rPr>
          <w:rFonts w:ascii="Times New Roman" w:hAnsi="Times New Roman" w:cs="Times New Roman"/>
          <w:b/>
        </w:rPr>
      </w:pPr>
      <w:r w:rsidRPr="00587BAD">
        <w:rPr>
          <w:rFonts w:ascii="Times New Roman" w:hAnsi="Times New Roman" w:cs="Times New Roman"/>
          <w:b/>
        </w:rPr>
        <w:t>Gennemførelse i procent</w:t>
      </w:r>
      <w:r w:rsidR="000B2C9E">
        <w:rPr>
          <w:rFonts w:ascii="Times New Roman" w:hAnsi="Times New Roman" w:cs="Times New Roman"/>
          <w:b/>
        </w:rPr>
        <w:t xml:space="preserve"> – ministeriets database har kun tal til og med skoleåret 17/18</w:t>
      </w:r>
      <w:r w:rsidRPr="00587BAD">
        <w:rPr>
          <w:rFonts w:ascii="Times New Roman" w:hAnsi="Times New Roman" w:cs="Times New Roman"/>
          <w:b/>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418"/>
        <w:gridCol w:w="1417"/>
        <w:gridCol w:w="1276"/>
        <w:gridCol w:w="1276"/>
      </w:tblGrid>
      <w:tr w:rsidR="00587BAD" w:rsidRPr="00587BAD" w:rsidTr="0045401F">
        <w:tc>
          <w:tcPr>
            <w:tcW w:w="2976" w:type="dxa"/>
            <w:shd w:val="clear" w:color="auto" w:fill="FFC000"/>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Skole</w:t>
            </w:r>
          </w:p>
        </w:tc>
        <w:tc>
          <w:tcPr>
            <w:tcW w:w="1418" w:type="dxa"/>
            <w:shd w:val="clear" w:color="auto" w:fill="FFC000"/>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14/15</w:t>
            </w:r>
          </w:p>
        </w:tc>
        <w:tc>
          <w:tcPr>
            <w:tcW w:w="1417" w:type="dxa"/>
            <w:shd w:val="clear" w:color="auto" w:fill="FFC000"/>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15/16</w:t>
            </w:r>
          </w:p>
        </w:tc>
        <w:tc>
          <w:tcPr>
            <w:tcW w:w="1276" w:type="dxa"/>
            <w:shd w:val="clear" w:color="auto" w:fill="FFC000"/>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16/17</w:t>
            </w:r>
          </w:p>
        </w:tc>
        <w:tc>
          <w:tcPr>
            <w:tcW w:w="1276" w:type="dxa"/>
            <w:shd w:val="clear" w:color="auto" w:fill="FFC000"/>
          </w:tcPr>
          <w:p w:rsidR="00587BAD" w:rsidRPr="00587BAD" w:rsidRDefault="00587BAD" w:rsidP="00844F29">
            <w:pPr>
              <w:spacing w:line="276" w:lineRule="auto"/>
              <w:rPr>
                <w:rFonts w:ascii="Times New Roman" w:hAnsi="Times New Roman" w:cs="Times New Roman"/>
              </w:rPr>
            </w:pPr>
            <w:r>
              <w:rPr>
                <w:rFonts w:ascii="Times New Roman" w:hAnsi="Times New Roman" w:cs="Times New Roman"/>
              </w:rPr>
              <w:t>17/18</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Aarhus Katedralskole</w:t>
            </w:r>
          </w:p>
        </w:tc>
        <w:tc>
          <w:tcPr>
            <w:tcW w:w="1418"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82</w:t>
            </w:r>
          </w:p>
        </w:tc>
        <w:tc>
          <w:tcPr>
            <w:tcW w:w="1417"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83</w:t>
            </w:r>
          </w:p>
        </w:tc>
        <w:tc>
          <w:tcPr>
            <w:tcW w:w="12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82</w:t>
            </w:r>
          </w:p>
        </w:tc>
        <w:tc>
          <w:tcPr>
            <w:tcW w:w="1276" w:type="dxa"/>
          </w:tcPr>
          <w:p w:rsidR="00587BAD" w:rsidRPr="00587BAD" w:rsidRDefault="00587BAD" w:rsidP="00844F29">
            <w:pPr>
              <w:spacing w:line="276" w:lineRule="auto"/>
              <w:rPr>
                <w:rFonts w:ascii="Times New Roman" w:hAnsi="Times New Roman" w:cs="Times New Roman"/>
              </w:rPr>
            </w:pPr>
            <w:r>
              <w:rPr>
                <w:rFonts w:ascii="Times New Roman" w:hAnsi="Times New Roman" w:cs="Times New Roman"/>
              </w:rPr>
              <w:t>78</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Marselisborg Gymnasium</w:t>
            </w:r>
          </w:p>
        </w:tc>
        <w:tc>
          <w:tcPr>
            <w:tcW w:w="1418"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85</w:t>
            </w:r>
          </w:p>
        </w:tc>
        <w:tc>
          <w:tcPr>
            <w:tcW w:w="1417"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84</w:t>
            </w:r>
          </w:p>
        </w:tc>
        <w:tc>
          <w:tcPr>
            <w:tcW w:w="12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88</w:t>
            </w:r>
          </w:p>
        </w:tc>
        <w:tc>
          <w:tcPr>
            <w:tcW w:w="1276" w:type="dxa"/>
          </w:tcPr>
          <w:p w:rsidR="00587BAD" w:rsidRPr="00587BAD" w:rsidRDefault="00AA533B" w:rsidP="00844F29">
            <w:pPr>
              <w:spacing w:line="276" w:lineRule="auto"/>
              <w:rPr>
                <w:rFonts w:ascii="Times New Roman" w:hAnsi="Times New Roman" w:cs="Times New Roman"/>
              </w:rPr>
            </w:pPr>
            <w:r>
              <w:rPr>
                <w:rFonts w:ascii="Times New Roman" w:hAnsi="Times New Roman" w:cs="Times New Roman"/>
              </w:rPr>
              <w:t>90</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Langkær Gymnasium</w:t>
            </w:r>
          </w:p>
        </w:tc>
        <w:tc>
          <w:tcPr>
            <w:tcW w:w="1418"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78</w:t>
            </w:r>
          </w:p>
        </w:tc>
        <w:tc>
          <w:tcPr>
            <w:tcW w:w="1417"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85</w:t>
            </w:r>
          </w:p>
        </w:tc>
        <w:tc>
          <w:tcPr>
            <w:tcW w:w="12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82</w:t>
            </w:r>
          </w:p>
        </w:tc>
        <w:tc>
          <w:tcPr>
            <w:tcW w:w="1276" w:type="dxa"/>
          </w:tcPr>
          <w:p w:rsidR="00587BAD" w:rsidRPr="00587BAD" w:rsidRDefault="00AA533B" w:rsidP="00844F29">
            <w:pPr>
              <w:spacing w:line="276" w:lineRule="auto"/>
              <w:rPr>
                <w:rFonts w:ascii="Times New Roman" w:hAnsi="Times New Roman" w:cs="Times New Roman"/>
              </w:rPr>
            </w:pPr>
            <w:r>
              <w:rPr>
                <w:rFonts w:ascii="Times New Roman" w:hAnsi="Times New Roman" w:cs="Times New Roman"/>
              </w:rPr>
              <w:t>83</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Risskov Gymnasium</w:t>
            </w:r>
          </w:p>
        </w:tc>
        <w:tc>
          <w:tcPr>
            <w:tcW w:w="1418"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89</w:t>
            </w:r>
          </w:p>
        </w:tc>
        <w:tc>
          <w:tcPr>
            <w:tcW w:w="1417"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90</w:t>
            </w:r>
          </w:p>
        </w:tc>
        <w:tc>
          <w:tcPr>
            <w:tcW w:w="12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90</w:t>
            </w:r>
          </w:p>
        </w:tc>
        <w:tc>
          <w:tcPr>
            <w:tcW w:w="1276" w:type="dxa"/>
          </w:tcPr>
          <w:p w:rsidR="00587BAD" w:rsidRPr="00587BAD" w:rsidRDefault="00AA533B" w:rsidP="00844F29">
            <w:pPr>
              <w:spacing w:line="276" w:lineRule="auto"/>
              <w:rPr>
                <w:rFonts w:ascii="Times New Roman" w:hAnsi="Times New Roman" w:cs="Times New Roman"/>
              </w:rPr>
            </w:pPr>
            <w:r>
              <w:rPr>
                <w:rFonts w:ascii="Times New Roman" w:hAnsi="Times New Roman" w:cs="Times New Roman"/>
              </w:rPr>
              <w:t>87</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Egå Gymnasium</w:t>
            </w:r>
          </w:p>
        </w:tc>
        <w:tc>
          <w:tcPr>
            <w:tcW w:w="1418"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87</w:t>
            </w:r>
          </w:p>
        </w:tc>
        <w:tc>
          <w:tcPr>
            <w:tcW w:w="1417"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89</w:t>
            </w:r>
          </w:p>
        </w:tc>
        <w:tc>
          <w:tcPr>
            <w:tcW w:w="12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89</w:t>
            </w:r>
          </w:p>
        </w:tc>
        <w:tc>
          <w:tcPr>
            <w:tcW w:w="1276" w:type="dxa"/>
          </w:tcPr>
          <w:p w:rsidR="00587BAD" w:rsidRPr="00587BAD" w:rsidRDefault="00AA533B" w:rsidP="00844F29">
            <w:pPr>
              <w:spacing w:line="276" w:lineRule="auto"/>
              <w:rPr>
                <w:rFonts w:ascii="Times New Roman" w:hAnsi="Times New Roman" w:cs="Times New Roman"/>
              </w:rPr>
            </w:pPr>
            <w:r>
              <w:rPr>
                <w:rFonts w:ascii="Times New Roman" w:hAnsi="Times New Roman" w:cs="Times New Roman"/>
              </w:rPr>
              <w:t>86</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Århus Statsgymnasium</w:t>
            </w:r>
          </w:p>
        </w:tc>
        <w:tc>
          <w:tcPr>
            <w:tcW w:w="1418"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81</w:t>
            </w:r>
          </w:p>
        </w:tc>
        <w:tc>
          <w:tcPr>
            <w:tcW w:w="1417"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86</w:t>
            </w:r>
          </w:p>
        </w:tc>
        <w:tc>
          <w:tcPr>
            <w:tcW w:w="12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85</w:t>
            </w:r>
          </w:p>
        </w:tc>
        <w:tc>
          <w:tcPr>
            <w:tcW w:w="1276" w:type="dxa"/>
          </w:tcPr>
          <w:p w:rsidR="00587BAD" w:rsidRPr="00587BAD" w:rsidRDefault="00AA533B" w:rsidP="00844F29">
            <w:pPr>
              <w:spacing w:line="276" w:lineRule="auto"/>
              <w:rPr>
                <w:rFonts w:ascii="Times New Roman" w:hAnsi="Times New Roman" w:cs="Times New Roman"/>
              </w:rPr>
            </w:pPr>
            <w:r>
              <w:rPr>
                <w:rFonts w:ascii="Times New Roman" w:hAnsi="Times New Roman" w:cs="Times New Roman"/>
              </w:rPr>
              <w:t>88</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Viby Gymnasium</w:t>
            </w:r>
          </w:p>
        </w:tc>
        <w:tc>
          <w:tcPr>
            <w:tcW w:w="1418"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84</w:t>
            </w:r>
          </w:p>
        </w:tc>
        <w:tc>
          <w:tcPr>
            <w:tcW w:w="1417"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88</w:t>
            </w:r>
          </w:p>
        </w:tc>
        <w:tc>
          <w:tcPr>
            <w:tcW w:w="1276" w:type="dxa"/>
            <w:shd w:val="clear" w:color="auto" w:fill="auto"/>
          </w:tcPr>
          <w:p w:rsidR="00587BAD" w:rsidRPr="00587BAD" w:rsidRDefault="00587BAD" w:rsidP="00844F29">
            <w:pPr>
              <w:spacing w:line="276" w:lineRule="auto"/>
              <w:rPr>
                <w:rFonts w:ascii="Times New Roman" w:hAnsi="Times New Roman" w:cs="Times New Roman"/>
              </w:rPr>
            </w:pPr>
            <w:r w:rsidRPr="00587BAD">
              <w:rPr>
                <w:rFonts w:ascii="Times New Roman" w:hAnsi="Times New Roman" w:cs="Times New Roman"/>
              </w:rPr>
              <w:t>86</w:t>
            </w:r>
          </w:p>
        </w:tc>
        <w:tc>
          <w:tcPr>
            <w:tcW w:w="1276" w:type="dxa"/>
          </w:tcPr>
          <w:p w:rsidR="00587BAD" w:rsidRPr="00587BAD" w:rsidRDefault="00AA533B" w:rsidP="00844F29">
            <w:pPr>
              <w:spacing w:line="276" w:lineRule="auto"/>
              <w:rPr>
                <w:rFonts w:ascii="Times New Roman" w:hAnsi="Times New Roman" w:cs="Times New Roman"/>
              </w:rPr>
            </w:pPr>
            <w:r>
              <w:rPr>
                <w:rFonts w:ascii="Times New Roman" w:hAnsi="Times New Roman" w:cs="Times New Roman"/>
              </w:rPr>
              <w:t>84</w:t>
            </w:r>
          </w:p>
        </w:tc>
      </w:tr>
      <w:tr w:rsidR="00587BAD" w:rsidRPr="00587BAD" w:rsidTr="0045401F">
        <w:tc>
          <w:tcPr>
            <w:tcW w:w="2976" w:type="dxa"/>
            <w:shd w:val="clear" w:color="auto" w:fill="auto"/>
          </w:tcPr>
          <w:p w:rsidR="00587BAD" w:rsidRPr="00587BAD" w:rsidRDefault="00587BAD" w:rsidP="00844F29">
            <w:pPr>
              <w:spacing w:line="276" w:lineRule="auto"/>
              <w:rPr>
                <w:rFonts w:ascii="Times New Roman" w:hAnsi="Times New Roman" w:cs="Times New Roman"/>
                <w:i/>
              </w:rPr>
            </w:pPr>
            <w:proofErr w:type="spellStart"/>
            <w:r w:rsidRPr="00587BAD">
              <w:rPr>
                <w:rFonts w:ascii="Times New Roman" w:hAnsi="Times New Roman" w:cs="Times New Roman"/>
                <w:i/>
              </w:rPr>
              <w:t>Gns</w:t>
            </w:r>
            <w:proofErr w:type="spellEnd"/>
            <w:r w:rsidRPr="00587BAD">
              <w:rPr>
                <w:rFonts w:ascii="Times New Roman" w:hAnsi="Times New Roman" w:cs="Times New Roman"/>
                <w:i/>
              </w:rPr>
              <w:t>. Aarhus-gymnasierne</w:t>
            </w:r>
          </w:p>
        </w:tc>
        <w:tc>
          <w:tcPr>
            <w:tcW w:w="1418" w:type="dxa"/>
            <w:shd w:val="clear" w:color="auto" w:fill="auto"/>
          </w:tcPr>
          <w:p w:rsidR="00587BAD" w:rsidRPr="00587BAD" w:rsidRDefault="00587BAD" w:rsidP="00844F29">
            <w:pPr>
              <w:spacing w:line="276" w:lineRule="auto"/>
              <w:rPr>
                <w:rFonts w:ascii="Times New Roman" w:hAnsi="Times New Roman" w:cs="Times New Roman"/>
                <w:i/>
              </w:rPr>
            </w:pPr>
            <w:r w:rsidRPr="00587BAD">
              <w:rPr>
                <w:rFonts w:ascii="Times New Roman" w:hAnsi="Times New Roman" w:cs="Times New Roman"/>
                <w:i/>
              </w:rPr>
              <w:t>84</w:t>
            </w:r>
          </w:p>
        </w:tc>
        <w:tc>
          <w:tcPr>
            <w:tcW w:w="1417" w:type="dxa"/>
            <w:shd w:val="clear" w:color="auto" w:fill="auto"/>
          </w:tcPr>
          <w:p w:rsidR="00587BAD" w:rsidRPr="00587BAD" w:rsidRDefault="00587BAD" w:rsidP="00844F29">
            <w:pPr>
              <w:spacing w:line="276" w:lineRule="auto"/>
              <w:rPr>
                <w:rFonts w:ascii="Times New Roman" w:hAnsi="Times New Roman" w:cs="Times New Roman"/>
                <w:i/>
              </w:rPr>
            </w:pPr>
            <w:r w:rsidRPr="00587BAD">
              <w:rPr>
                <w:rFonts w:ascii="Times New Roman" w:hAnsi="Times New Roman" w:cs="Times New Roman"/>
                <w:i/>
              </w:rPr>
              <w:t>86</w:t>
            </w:r>
          </w:p>
        </w:tc>
        <w:tc>
          <w:tcPr>
            <w:tcW w:w="1276" w:type="dxa"/>
            <w:shd w:val="clear" w:color="auto" w:fill="auto"/>
          </w:tcPr>
          <w:p w:rsidR="00587BAD" w:rsidRPr="00587BAD" w:rsidRDefault="00587BAD" w:rsidP="00844F29">
            <w:pPr>
              <w:spacing w:line="276" w:lineRule="auto"/>
              <w:rPr>
                <w:rFonts w:ascii="Times New Roman" w:hAnsi="Times New Roman" w:cs="Times New Roman"/>
                <w:i/>
              </w:rPr>
            </w:pPr>
            <w:r w:rsidRPr="00587BAD">
              <w:rPr>
                <w:rFonts w:ascii="Times New Roman" w:hAnsi="Times New Roman" w:cs="Times New Roman"/>
                <w:i/>
              </w:rPr>
              <w:t>86</w:t>
            </w:r>
          </w:p>
        </w:tc>
        <w:tc>
          <w:tcPr>
            <w:tcW w:w="1276" w:type="dxa"/>
          </w:tcPr>
          <w:p w:rsidR="00587BAD" w:rsidRPr="00AA533B" w:rsidRDefault="000B2C9E" w:rsidP="00844F29">
            <w:pPr>
              <w:spacing w:line="276" w:lineRule="auto"/>
              <w:rPr>
                <w:rFonts w:ascii="Times New Roman" w:hAnsi="Times New Roman" w:cs="Times New Roman"/>
                <w:i/>
                <w:highlight w:val="yellow"/>
              </w:rPr>
            </w:pPr>
            <w:r w:rsidRPr="00095FFB">
              <w:rPr>
                <w:rFonts w:ascii="Times New Roman" w:hAnsi="Times New Roman" w:cs="Times New Roman"/>
                <w:i/>
              </w:rPr>
              <w:t>85</w:t>
            </w:r>
          </w:p>
        </w:tc>
      </w:tr>
      <w:tr w:rsidR="00587BAD" w:rsidRPr="004502B2" w:rsidTr="0045401F">
        <w:tc>
          <w:tcPr>
            <w:tcW w:w="2976" w:type="dxa"/>
            <w:shd w:val="clear" w:color="auto" w:fill="auto"/>
          </w:tcPr>
          <w:p w:rsidR="00587BAD" w:rsidRPr="00587BAD" w:rsidRDefault="00587BAD" w:rsidP="00844F29">
            <w:pPr>
              <w:spacing w:line="276" w:lineRule="auto"/>
              <w:rPr>
                <w:rFonts w:ascii="Times New Roman" w:hAnsi="Times New Roman" w:cs="Times New Roman"/>
                <w:i/>
              </w:rPr>
            </w:pPr>
            <w:r w:rsidRPr="00587BAD">
              <w:rPr>
                <w:rFonts w:ascii="Times New Roman" w:hAnsi="Times New Roman" w:cs="Times New Roman"/>
                <w:i/>
              </w:rPr>
              <w:t>Landsgennemsnit</w:t>
            </w:r>
          </w:p>
        </w:tc>
        <w:tc>
          <w:tcPr>
            <w:tcW w:w="1418" w:type="dxa"/>
            <w:shd w:val="clear" w:color="auto" w:fill="auto"/>
          </w:tcPr>
          <w:p w:rsidR="00587BAD" w:rsidRPr="004502B2" w:rsidRDefault="00587BAD" w:rsidP="00844F29">
            <w:pPr>
              <w:spacing w:line="276" w:lineRule="auto"/>
              <w:rPr>
                <w:rFonts w:ascii="Times New Roman" w:hAnsi="Times New Roman" w:cs="Times New Roman"/>
                <w:i/>
              </w:rPr>
            </w:pPr>
            <w:r w:rsidRPr="004502B2">
              <w:rPr>
                <w:rFonts w:ascii="Times New Roman" w:hAnsi="Times New Roman" w:cs="Times New Roman"/>
                <w:i/>
              </w:rPr>
              <w:t>84</w:t>
            </w:r>
          </w:p>
        </w:tc>
        <w:tc>
          <w:tcPr>
            <w:tcW w:w="1417" w:type="dxa"/>
            <w:shd w:val="clear" w:color="auto" w:fill="auto"/>
          </w:tcPr>
          <w:p w:rsidR="00587BAD" w:rsidRPr="004502B2" w:rsidRDefault="00587BAD" w:rsidP="00844F29">
            <w:pPr>
              <w:spacing w:line="276" w:lineRule="auto"/>
              <w:rPr>
                <w:rFonts w:ascii="Times New Roman" w:hAnsi="Times New Roman" w:cs="Times New Roman"/>
                <w:i/>
              </w:rPr>
            </w:pPr>
            <w:r w:rsidRPr="004502B2">
              <w:rPr>
                <w:rFonts w:ascii="Times New Roman" w:hAnsi="Times New Roman" w:cs="Times New Roman"/>
                <w:i/>
              </w:rPr>
              <w:t>85</w:t>
            </w:r>
          </w:p>
        </w:tc>
        <w:tc>
          <w:tcPr>
            <w:tcW w:w="1276" w:type="dxa"/>
            <w:shd w:val="clear" w:color="auto" w:fill="auto"/>
          </w:tcPr>
          <w:p w:rsidR="00587BAD" w:rsidRPr="004502B2" w:rsidRDefault="00587BAD" w:rsidP="00844F29">
            <w:pPr>
              <w:spacing w:line="276" w:lineRule="auto"/>
              <w:rPr>
                <w:rFonts w:ascii="Times New Roman" w:hAnsi="Times New Roman" w:cs="Times New Roman"/>
                <w:i/>
              </w:rPr>
            </w:pPr>
            <w:r w:rsidRPr="004502B2">
              <w:rPr>
                <w:rFonts w:ascii="Times New Roman" w:hAnsi="Times New Roman" w:cs="Times New Roman"/>
                <w:i/>
              </w:rPr>
              <w:t>85</w:t>
            </w:r>
          </w:p>
        </w:tc>
        <w:tc>
          <w:tcPr>
            <w:tcW w:w="1276" w:type="dxa"/>
          </w:tcPr>
          <w:p w:rsidR="00587BAD" w:rsidRPr="004502B2" w:rsidRDefault="004502B2" w:rsidP="00844F29">
            <w:pPr>
              <w:spacing w:line="276" w:lineRule="auto"/>
              <w:rPr>
                <w:rFonts w:ascii="Times New Roman" w:hAnsi="Times New Roman" w:cs="Times New Roman"/>
                <w:i/>
                <w:highlight w:val="yellow"/>
              </w:rPr>
            </w:pPr>
            <w:r w:rsidRPr="004502B2">
              <w:rPr>
                <w:rFonts w:ascii="Times New Roman" w:hAnsi="Times New Roman" w:cs="Times New Roman"/>
                <w:i/>
              </w:rPr>
              <w:t>85</w:t>
            </w:r>
          </w:p>
        </w:tc>
      </w:tr>
    </w:tbl>
    <w:p w:rsidR="00587BAD" w:rsidRDefault="00587BAD" w:rsidP="00587BAD">
      <w:pPr>
        <w:spacing w:line="276" w:lineRule="auto"/>
        <w:rPr>
          <w:rFonts w:ascii="Times New Roman" w:hAnsi="Times New Roman" w:cs="Times New Roman"/>
          <w:sz w:val="24"/>
          <w:szCs w:val="24"/>
        </w:rPr>
      </w:pPr>
    </w:p>
    <w:p w:rsidR="00095FFB" w:rsidRPr="001052CE" w:rsidRDefault="00095FFB" w:rsidP="00587BAD">
      <w:pPr>
        <w:spacing w:line="276" w:lineRule="auto"/>
        <w:rPr>
          <w:rFonts w:ascii="Times New Roman" w:hAnsi="Times New Roman" w:cs="Times New Roman"/>
          <w:i/>
          <w:sz w:val="24"/>
          <w:szCs w:val="24"/>
        </w:rPr>
      </w:pPr>
      <w:r w:rsidRPr="001052CE">
        <w:rPr>
          <w:rFonts w:ascii="Times New Roman" w:hAnsi="Times New Roman" w:cs="Times New Roman"/>
          <w:i/>
          <w:sz w:val="24"/>
          <w:szCs w:val="24"/>
        </w:rPr>
        <w:lastRenderedPageBreak/>
        <w:t>Konklusion</w:t>
      </w:r>
      <w:r w:rsidR="00372BEC" w:rsidRPr="001052CE">
        <w:rPr>
          <w:rFonts w:ascii="Times New Roman" w:hAnsi="Times New Roman" w:cs="Times New Roman"/>
          <w:i/>
          <w:sz w:val="24"/>
          <w:szCs w:val="24"/>
        </w:rPr>
        <w:t>:</w:t>
      </w:r>
      <w:r w:rsidR="00732A03" w:rsidRPr="001052CE">
        <w:rPr>
          <w:rFonts w:ascii="Times New Roman" w:hAnsi="Times New Roman" w:cs="Times New Roman"/>
          <w:i/>
          <w:sz w:val="24"/>
          <w:szCs w:val="24"/>
        </w:rPr>
        <w:t xml:space="preserve"> Frafaldet for den årgang, der blev studenter i 2020, har været lavere end gennemsnittet for de 5 sidste år, men frafaldet bør stadig begrænses.</w:t>
      </w:r>
    </w:p>
    <w:p w:rsidR="00095FFB" w:rsidRPr="001052CE" w:rsidRDefault="00372BEC" w:rsidP="00587BAD">
      <w:pPr>
        <w:spacing w:line="276" w:lineRule="auto"/>
        <w:rPr>
          <w:rFonts w:ascii="Times New Roman" w:hAnsi="Times New Roman" w:cs="Times New Roman"/>
          <w:i/>
          <w:sz w:val="24"/>
          <w:szCs w:val="24"/>
        </w:rPr>
      </w:pPr>
      <w:r w:rsidRPr="001052CE">
        <w:rPr>
          <w:rFonts w:ascii="Times New Roman" w:hAnsi="Times New Roman" w:cs="Times New Roman"/>
          <w:i/>
          <w:sz w:val="24"/>
          <w:szCs w:val="24"/>
        </w:rPr>
        <w:t>Opfølgning:</w:t>
      </w:r>
      <w:r w:rsidR="00732A03" w:rsidRPr="001052CE">
        <w:rPr>
          <w:rFonts w:ascii="Times New Roman" w:hAnsi="Times New Roman" w:cs="Times New Roman"/>
          <w:i/>
          <w:sz w:val="24"/>
          <w:szCs w:val="24"/>
        </w:rPr>
        <w:t xml:space="preserve"> Der arbejdes fremadrettet med at begrænse frafaldet via nye handlingsplaner (se opfølgningen på årets handlingsplaner).</w:t>
      </w:r>
    </w:p>
    <w:p w:rsidR="003E0186" w:rsidRDefault="003E0186" w:rsidP="003E0186">
      <w:pPr>
        <w:pStyle w:val="Listeafsnit"/>
        <w:spacing w:after="0" w:line="276" w:lineRule="auto"/>
        <w:rPr>
          <w:rFonts w:ascii="Times New Roman" w:hAnsi="Times New Roman" w:cs="Times New Roman"/>
          <w:sz w:val="24"/>
          <w:szCs w:val="24"/>
        </w:rPr>
      </w:pPr>
    </w:p>
    <w:p w:rsidR="001B6FFD" w:rsidRPr="009E12F5" w:rsidRDefault="001B6FFD" w:rsidP="009E12F5">
      <w:pPr>
        <w:pStyle w:val="Listeafsnit"/>
        <w:numPr>
          <w:ilvl w:val="0"/>
          <w:numId w:val="16"/>
        </w:numPr>
        <w:spacing w:after="0" w:line="276" w:lineRule="auto"/>
        <w:rPr>
          <w:rFonts w:ascii="Times New Roman" w:hAnsi="Times New Roman" w:cs="Times New Roman"/>
          <w:sz w:val="24"/>
          <w:szCs w:val="24"/>
        </w:rPr>
      </w:pPr>
      <w:r w:rsidRPr="009E12F5">
        <w:rPr>
          <w:rFonts w:ascii="Times New Roman" w:hAnsi="Times New Roman" w:cs="Times New Roman"/>
          <w:sz w:val="24"/>
          <w:szCs w:val="24"/>
        </w:rPr>
        <w:t>Fravær</w:t>
      </w:r>
      <w:r w:rsidRPr="009E12F5">
        <w:rPr>
          <w:rFonts w:ascii="Times New Roman" w:hAnsi="Times New Roman" w:cs="Times New Roman"/>
          <w:b/>
          <w:sz w:val="24"/>
          <w:szCs w:val="24"/>
        </w:rPr>
        <w:t>:</w:t>
      </w:r>
      <w:r w:rsidRPr="009E12F5">
        <w:rPr>
          <w:rFonts w:ascii="Times New Roman" w:hAnsi="Times New Roman" w:cs="Times New Roman"/>
          <w:sz w:val="24"/>
          <w:szCs w:val="24"/>
        </w:rPr>
        <w:t xml:space="preserve"> Skolens mål for fremmøde og aflevering af skriftligt arbejde skal overholdes. Målene er som følger:</w:t>
      </w:r>
    </w:p>
    <w:p w:rsidR="001B6FFD" w:rsidRP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Et samlet gennemsnitligt fremmøde på 92</w:t>
      </w:r>
      <w:proofErr w:type="gramStart"/>
      <w:r w:rsidRPr="001B6FFD">
        <w:rPr>
          <w:rFonts w:ascii="Times New Roman" w:hAnsi="Times New Roman" w:cs="Times New Roman"/>
          <w:sz w:val="24"/>
          <w:szCs w:val="24"/>
        </w:rPr>
        <w:t>%</w:t>
      </w:r>
      <w:r w:rsidR="00F17119">
        <w:rPr>
          <w:rFonts w:ascii="Times New Roman" w:hAnsi="Times New Roman" w:cs="Times New Roman"/>
          <w:sz w:val="24"/>
          <w:szCs w:val="24"/>
        </w:rPr>
        <w:t xml:space="preserve">  (</w:t>
      </w:r>
      <w:proofErr w:type="gramEnd"/>
      <w:r w:rsidR="00F17119">
        <w:rPr>
          <w:rFonts w:ascii="Times New Roman" w:hAnsi="Times New Roman" w:cs="Times New Roman"/>
          <w:sz w:val="24"/>
          <w:szCs w:val="24"/>
        </w:rPr>
        <w:t>91% for skoleåret 17/</w:t>
      </w:r>
      <w:r w:rsidR="00587BAD">
        <w:rPr>
          <w:rFonts w:ascii="Times New Roman" w:hAnsi="Times New Roman" w:cs="Times New Roman"/>
          <w:sz w:val="24"/>
          <w:szCs w:val="24"/>
        </w:rPr>
        <w:t>1</w:t>
      </w:r>
      <w:r w:rsidR="00F17119">
        <w:rPr>
          <w:rFonts w:ascii="Times New Roman" w:hAnsi="Times New Roman" w:cs="Times New Roman"/>
          <w:sz w:val="24"/>
          <w:szCs w:val="24"/>
        </w:rPr>
        <w:t>8)</w:t>
      </w:r>
    </w:p>
    <w:p w:rsidR="001B6FFD" w:rsidRP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92% af elevernes skriftlige arbejde afleveres</w:t>
      </w:r>
      <w:r w:rsidR="00F17119">
        <w:rPr>
          <w:rFonts w:ascii="Times New Roman" w:hAnsi="Times New Roman" w:cs="Times New Roman"/>
          <w:sz w:val="24"/>
          <w:szCs w:val="24"/>
        </w:rPr>
        <w:t xml:space="preserve"> (96% for skoleåret 17/18)</w:t>
      </w:r>
    </w:p>
    <w:p w:rsid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En reduktion af antallet af elever med fravær over 15% sammenlignet med genn</w:t>
      </w:r>
      <w:r w:rsidR="00F17119">
        <w:rPr>
          <w:rFonts w:ascii="Times New Roman" w:hAnsi="Times New Roman" w:cs="Times New Roman"/>
          <w:sz w:val="24"/>
          <w:szCs w:val="24"/>
        </w:rPr>
        <w:t>emsnittet af de 5 foregående å</w:t>
      </w:r>
      <w:r w:rsidR="00DC3C05">
        <w:rPr>
          <w:rFonts w:ascii="Times New Roman" w:hAnsi="Times New Roman" w:cs="Times New Roman"/>
          <w:sz w:val="24"/>
          <w:szCs w:val="24"/>
        </w:rPr>
        <w:t>r.</w:t>
      </w:r>
    </w:p>
    <w:p w:rsid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En reduktion af antallet af elever med skriftlige forsømmelser over 15% sammen</w:t>
      </w:r>
      <w:r w:rsidR="00953C24">
        <w:rPr>
          <w:rFonts w:ascii="Times New Roman" w:hAnsi="Times New Roman" w:cs="Times New Roman"/>
          <w:sz w:val="24"/>
          <w:szCs w:val="24"/>
        </w:rPr>
        <w:t>lignet med gennemsnittet af de 5</w:t>
      </w:r>
      <w:r w:rsidRPr="001B6FFD">
        <w:rPr>
          <w:rFonts w:ascii="Times New Roman" w:hAnsi="Times New Roman" w:cs="Times New Roman"/>
          <w:sz w:val="24"/>
          <w:szCs w:val="24"/>
        </w:rPr>
        <w:t xml:space="preserve"> foregående år</w:t>
      </w:r>
      <w:r w:rsidR="00DC3C05">
        <w:rPr>
          <w:rFonts w:ascii="Times New Roman" w:hAnsi="Times New Roman" w:cs="Times New Roman"/>
          <w:sz w:val="24"/>
          <w:szCs w:val="24"/>
        </w:rPr>
        <w:t>.</w:t>
      </w:r>
    </w:p>
    <w:p w:rsidR="00401304" w:rsidRDefault="00401304" w:rsidP="00401304">
      <w:pPr>
        <w:pStyle w:val="Listeafsnit"/>
        <w:rPr>
          <w:rFonts w:ascii="Times New Roman" w:hAnsi="Times New Roman" w:cs="Times New Roman"/>
          <w:sz w:val="24"/>
          <w:szCs w:val="24"/>
        </w:rPr>
      </w:pPr>
    </w:p>
    <w:p w:rsidR="00401304" w:rsidRPr="00587BAD" w:rsidRDefault="00401304" w:rsidP="00401304">
      <w:pPr>
        <w:spacing w:before="240" w:after="240"/>
        <w:rPr>
          <w:rFonts w:ascii="Times New Roman" w:hAnsi="Times New Roman" w:cs="Times New Roman"/>
          <w:b/>
          <w:i/>
          <w:sz w:val="24"/>
          <w:szCs w:val="24"/>
        </w:rPr>
      </w:pPr>
      <w:r w:rsidRPr="00587BAD">
        <w:rPr>
          <w:rFonts w:ascii="Times New Roman" w:hAnsi="Times New Roman" w:cs="Times New Roman"/>
          <w:b/>
          <w:i/>
          <w:sz w:val="24"/>
          <w:szCs w:val="24"/>
        </w:rPr>
        <w:t xml:space="preserve">Fravær: </w:t>
      </w:r>
    </w:p>
    <w:tbl>
      <w:tblPr>
        <w:tblW w:w="9279" w:type="dxa"/>
        <w:tblInd w:w="6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2799"/>
        <w:gridCol w:w="3307"/>
        <w:gridCol w:w="3173"/>
      </w:tblGrid>
      <w:tr w:rsidR="00401304" w:rsidRPr="00587BAD" w:rsidTr="004502B2">
        <w:trPr>
          <w:trHeight w:val="365"/>
        </w:trPr>
        <w:tc>
          <w:tcPr>
            <w:tcW w:w="2799" w:type="dxa"/>
            <w:tcBorders>
              <w:top w:val="single" w:sz="8" w:space="0" w:color="auto"/>
              <w:bottom w:val="single" w:sz="8" w:space="0" w:color="auto"/>
              <w:right w:val="single" w:sz="8" w:space="0" w:color="auto"/>
            </w:tcBorders>
            <w:shd w:val="clear" w:color="auto" w:fill="FFC000"/>
          </w:tcPr>
          <w:p w:rsidR="00401304" w:rsidRPr="00587BAD" w:rsidRDefault="00401304" w:rsidP="00844F29">
            <w:pPr>
              <w:tabs>
                <w:tab w:val="left" w:pos="2900"/>
              </w:tabs>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Forsømmelser</w:t>
            </w:r>
          </w:p>
        </w:tc>
        <w:tc>
          <w:tcPr>
            <w:tcW w:w="3307" w:type="dxa"/>
            <w:tcBorders>
              <w:top w:val="single" w:sz="8" w:space="0" w:color="auto"/>
              <w:left w:val="single" w:sz="8" w:space="0" w:color="auto"/>
              <w:bottom w:val="single" w:sz="8" w:space="0" w:color="auto"/>
              <w:right w:val="single" w:sz="8" w:space="0" w:color="auto"/>
            </w:tcBorders>
            <w:shd w:val="clear" w:color="auto" w:fill="FFC000"/>
          </w:tcPr>
          <w:p w:rsidR="00401304" w:rsidRPr="00587BAD" w:rsidRDefault="00401304" w:rsidP="00844F29">
            <w:pPr>
              <w:autoSpaceDE w:val="0"/>
              <w:autoSpaceDN w:val="0"/>
              <w:adjustRightInd w:val="0"/>
              <w:rPr>
                <w:rFonts w:ascii="Times New Roman" w:hAnsi="Times New Roman" w:cs="Times New Roman"/>
                <w:i/>
                <w:color w:val="000000"/>
                <w:sz w:val="24"/>
                <w:szCs w:val="24"/>
                <w:lang w:val="en-US"/>
              </w:rPr>
            </w:pPr>
            <w:r w:rsidRPr="00587BAD">
              <w:rPr>
                <w:rFonts w:ascii="Times New Roman" w:hAnsi="Times New Roman" w:cs="Times New Roman"/>
                <w:i/>
                <w:color w:val="000000"/>
                <w:sz w:val="24"/>
                <w:szCs w:val="24"/>
              </w:rPr>
              <w:t>Må</w:t>
            </w:r>
            <w:r w:rsidRPr="00587BAD">
              <w:rPr>
                <w:rFonts w:ascii="Times New Roman" w:hAnsi="Times New Roman" w:cs="Times New Roman"/>
                <w:i/>
                <w:color w:val="000000"/>
                <w:sz w:val="24"/>
                <w:szCs w:val="24"/>
                <w:lang w:val="en-US"/>
              </w:rPr>
              <w:t xml:space="preserve">l </w:t>
            </w:r>
          </w:p>
        </w:tc>
        <w:tc>
          <w:tcPr>
            <w:tcW w:w="3173" w:type="dxa"/>
            <w:tcBorders>
              <w:top w:val="single" w:sz="8" w:space="0" w:color="auto"/>
              <w:left w:val="single" w:sz="8" w:space="0" w:color="auto"/>
              <w:bottom w:val="single" w:sz="8" w:space="0" w:color="auto"/>
              <w:right w:val="single" w:sz="8" w:space="0" w:color="auto"/>
            </w:tcBorders>
            <w:shd w:val="clear" w:color="auto" w:fill="FFC000"/>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Opgjort ved skoleårets afslutning</w:t>
            </w:r>
          </w:p>
        </w:tc>
      </w:tr>
      <w:tr w:rsidR="0054283F" w:rsidRPr="0054283F" w:rsidTr="00587BAD">
        <w:trPr>
          <w:trHeight w:val="723"/>
        </w:trPr>
        <w:tc>
          <w:tcPr>
            <w:tcW w:w="2799" w:type="dxa"/>
            <w:tcBorders>
              <w:top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 xml:space="preserve">Samlet fremmøde </w:t>
            </w:r>
          </w:p>
        </w:tc>
        <w:tc>
          <w:tcPr>
            <w:tcW w:w="3307" w:type="dxa"/>
            <w:tcBorders>
              <w:top w:val="single" w:sz="8" w:space="0" w:color="auto"/>
              <w:left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92%</w:t>
            </w:r>
          </w:p>
        </w:tc>
        <w:tc>
          <w:tcPr>
            <w:tcW w:w="3173" w:type="dxa"/>
            <w:tcBorders>
              <w:top w:val="single" w:sz="8" w:space="0" w:color="auto"/>
              <w:left w:val="single" w:sz="8" w:space="0" w:color="auto"/>
              <w:bottom w:val="single" w:sz="8" w:space="0" w:color="auto"/>
              <w:right w:val="single" w:sz="8" w:space="0" w:color="auto"/>
            </w:tcBorders>
          </w:tcPr>
          <w:p w:rsidR="00401304" w:rsidRPr="0054283F" w:rsidRDefault="00401304" w:rsidP="00844F29">
            <w:pPr>
              <w:autoSpaceDE w:val="0"/>
              <w:autoSpaceDN w:val="0"/>
              <w:adjustRightInd w:val="0"/>
              <w:rPr>
                <w:rFonts w:ascii="Times New Roman" w:hAnsi="Times New Roman" w:cs="Times New Roman"/>
                <w:bCs/>
                <w:i/>
                <w:sz w:val="24"/>
                <w:szCs w:val="24"/>
              </w:rPr>
            </w:pPr>
            <w:r w:rsidRPr="0054283F">
              <w:rPr>
                <w:rFonts w:ascii="Times New Roman" w:hAnsi="Times New Roman" w:cs="Times New Roman"/>
                <w:bCs/>
                <w:i/>
                <w:sz w:val="24"/>
                <w:szCs w:val="24"/>
              </w:rPr>
              <w:t>93,8%</w:t>
            </w:r>
          </w:p>
          <w:p w:rsidR="00401304" w:rsidRPr="0054283F" w:rsidRDefault="00401304" w:rsidP="00844F29">
            <w:pPr>
              <w:autoSpaceDE w:val="0"/>
              <w:autoSpaceDN w:val="0"/>
              <w:adjustRightInd w:val="0"/>
              <w:rPr>
                <w:rFonts w:ascii="Times New Roman" w:hAnsi="Times New Roman" w:cs="Times New Roman"/>
                <w:bCs/>
                <w:i/>
                <w:sz w:val="24"/>
                <w:szCs w:val="24"/>
              </w:rPr>
            </w:pPr>
            <w:r w:rsidRPr="0054283F">
              <w:rPr>
                <w:rFonts w:ascii="Times New Roman" w:hAnsi="Times New Roman" w:cs="Times New Roman"/>
                <w:bCs/>
                <w:i/>
                <w:sz w:val="24"/>
                <w:szCs w:val="24"/>
              </w:rPr>
              <w:t xml:space="preserve">(2019: </w:t>
            </w:r>
            <w:r w:rsidR="0054283F" w:rsidRPr="0054283F">
              <w:rPr>
                <w:rFonts w:ascii="Times New Roman" w:hAnsi="Times New Roman" w:cs="Times New Roman"/>
                <w:bCs/>
                <w:i/>
                <w:sz w:val="24"/>
                <w:szCs w:val="24"/>
              </w:rPr>
              <w:t>91,</w:t>
            </w:r>
            <w:r w:rsidR="0054283F">
              <w:rPr>
                <w:rFonts w:ascii="Times New Roman" w:hAnsi="Times New Roman" w:cs="Times New Roman"/>
                <w:bCs/>
                <w:i/>
                <w:sz w:val="24"/>
                <w:szCs w:val="24"/>
              </w:rPr>
              <w:t>6</w:t>
            </w:r>
            <w:r w:rsidR="0054283F" w:rsidRPr="0054283F">
              <w:rPr>
                <w:rFonts w:ascii="Times New Roman" w:hAnsi="Times New Roman" w:cs="Times New Roman"/>
                <w:bCs/>
                <w:i/>
                <w:sz w:val="24"/>
                <w:szCs w:val="24"/>
              </w:rPr>
              <w:t>%</w:t>
            </w:r>
            <w:r w:rsidRPr="0054283F">
              <w:rPr>
                <w:rFonts w:ascii="Times New Roman" w:hAnsi="Times New Roman" w:cs="Times New Roman"/>
                <w:bCs/>
                <w:i/>
                <w:sz w:val="24"/>
                <w:szCs w:val="24"/>
              </w:rPr>
              <w:t>, 2018: 91</w:t>
            </w:r>
            <w:r w:rsidR="0054283F" w:rsidRPr="0054283F">
              <w:rPr>
                <w:rFonts w:ascii="Times New Roman" w:hAnsi="Times New Roman" w:cs="Times New Roman"/>
                <w:bCs/>
                <w:i/>
                <w:sz w:val="24"/>
                <w:szCs w:val="24"/>
              </w:rPr>
              <w:t>,2</w:t>
            </w:r>
            <w:r w:rsidRPr="0054283F">
              <w:rPr>
                <w:rFonts w:ascii="Times New Roman" w:hAnsi="Times New Roman" w:cs="Times New Roman"/>
                <w:bCs/>
                <w:i/>
                <w:sz w:val="24"/>
                <w:szCs w:val="24"/>
              </w:rPr>
              <w:t>%)</w:t>
            </w:r>
          </w:p>
        </w:tc>
      </w:tr>
      <w:tr w:rsidR="00401304" w:rsidRPr="00587BAD" w:rsidTr="00587BAD">
        <w:trPr>
          <w:trHeight w:val="731"/>
        </w:trPr>
        <w:tc>
          <w:tcPr>
            <w:tcW w:w="2799" w:type="dxa"/>
            <w:tcBorders>
              <w:top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Samlet skriftligt arbejde afleveret</w:t>
            </w:r>
          </w:p>
        </w:tc>
        <w:tc>
          <w:tcPr>
            <w:tcW w:w="3307" w:type="dxa"/>
            <w:tcBorders>
              <w:top w:val="single" w:sz="8" w:space="0" w:color="auto"/>
              <w:left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92%</w:t>
            </w:r>
          </w:p>
        </w:tc>
        <w:tc>
          <w:tcPr>
            <w:tcW w:w="3173" w:type="dxa"/>
            <w:tcBorders>
              <w:top w:val="single" w:sz="8" w:space="0" w:color="auto"/>
              <w:left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bCs/>
                <w:i/>
                <w:sz w:val="24"/>
                <w:szCs w:val="24"/>
              </w:rPr>
            </w:pPr>
            <w:r w:rsidRPr="00587BAD">
              <w:rPr>
                <w:rFonts w:ascii="Times New Roman" w:hAnsi="Times New Roman" w:cs="Times New Roman"/>
                <w:bCs/>
                <w:i/>
                <w:sz w:val="24"/>
                <w:szCs w:val="24"/>
              </w:rPr>
              <w:t>96,</w:t>
            </w:r>
            <w:r w:rsidR="0054283F">
              <w:rPr>
                <w:rFonts w:ascii="Times New Roman" w:hAnsi="Times New Roman" w:cs="Times New Roman"/>
                <w:bCs/>
                <w:i/>
                <w:sz w:val="24"/>
                <w:szCs w:val="24"/>
              </w:rPr>
              <w:t>2</w:t>
            </w:r>
            <w:r w:rsidRPr="00587BAD">
              <w:rPr>
                <w:rFonts w:ascii="Times New Roman" w:hAnsi="Times New Roman" w:cs="Times New Roman"/>
                <w:bCs/>
                <w:i/>
                <w:sz w:val="24"/>
                <w:szCs w:val="24"/>
              </w:rPr>
              <w:t xml:space="preserve">%  </w:t>
            </w:r>
          </w:p>
          <w:p w:rsidR="00401304" w:rsidRPr="00587BAD" w:rsidRDefault="00401304" w:rsidP="00844F29">
            <w:pPr>
              <w:autoSpaceDE w:val="0"/>
              <w:autoSpaceDN w:val="0"/>
              <w:adjustRightInd w:val="0"/>
              <w:rPr>
                <w:rFonts w:ascii="Times New Roman" w:hAnsi="Times New Roman" w:cs="Times New Roman"/>
                <w:bCs/>
                <w:i/>
                <w:sz w:val="24"/>
                <w:szCs w:val="24"/>
              </w:rPr>
            </w:pPr>
            <w:r w:rsidRPr="0054283F">
              <w:rPr>
                <w:rFonts w:ascii="Times New Roman" w:hAnsi="Times New Roman" w:cs="Times New Roman"/>
                <w:bCs/>
                <w:i/>
                <w:sz w:val="24"/>
                <w:szCs w:val="24"/>
              </w:rPr>
              <w:t>(2019</w:t>
            </w:r>
            <w:r w:rsidR="0054283F" w:rsidRPr="0054283F">
              <w:rPr>
                <w:rFonts w:ascii="Times New Roman" w:hAnsi="Times New Roman" w:cs="Times New Roman"/>
                <w:bCs/>
                <w:i/>
                <w:sz w:val="24"/>
                <w:szCs w:val="24"/>
              </w:rPr>
              <w:t>: 96,</w:t>
            </w:r>
            <w:r w:rsidR="0054283F">
              <w:rPr>
                <w:rFonts w:ascii="Times New Roman" w:hAnsi="Times New Roman" w:cs="Times New Roman"/>
                <w:bCs/>
                <w:i/>
                <w:sz w:val="24"/>
                <w:szCs w:val="24"/>
              </w:rPr>
              <w:t>1</w:t>
            </w:r>
            <w:r w:rsidR="0054283F" w:rsidRPr="0054283F">
              <w:rPr>
                <w:rFonts w:ascii="Times New Roman" w:hAnsi="Times New Roman" w:cs="Times New Roman"/>
                <w:bCs/>
                <w:i/>
                <w:sz w:val="24"/>
                <w:szCs w:val="24"/>
              </w:rPr>
              <w:t>%</w:t>
            </w:r>
            <w:r w:rsidRPr="0054283F">
              <w:rPr>
                <w:rFonts w:ascii="Times New Roman" w:hAnsi="Times New Roman" w:cs="Times New Roman"/>
                <w:bCs/>
                <w:i/>
                <w:sz w:val="24"/>
                <w:szCs w:val="24"/>
              </w:rPr>
              <w:t xml:space="preserve">   2018: 95,</w:t>
            </w:r>
            <w:r w:rsidR="0054283F">
              <w:rPr>
                <w:rFonts w:ascii="Times New Roman" w:hAnsi="Times New Roman" w:cs="Times New Roman"/>
                <w:bCs/>
                <w:i/>
                <w:sz w:val="24"/>
                <w:szCs w:val="24"/>
              </w:rPr>
              <w:t>9</w:t>
            </w:r>
            <w:r w:rsidRPr="0054283F">
              <w:rPr>
                <w:rFonts w:ascii="Times New Roman" w:hAnsi="Times New Roman" w:cs="Times New Roman"/>
                <w:bCs/>
                <w:i/>
                <w:sz w:val="24"/>
                <w:szCs w:val="24"/>
              </w:rPr>
              <w:t>%)</w:t>
            </w:r>
          </w:p>
        </w:tc>
      </w:tr>
      <w:tr w:rsidR="00401304" w:rsidRPr="00587BAD" w:rsidTr="00587BAD">
        <w:tblPrEx>
          <w:tblBorders>
            <w:bottom w:val="single" w:sz="8" w:space="0" w:color="auto"/>
          </w:tblBorders>
        </w:tblPrEx>
        <w:trPr>
          <w:trHeight w:val="1438"/>
        </w:trPr>
        <w:tc>
          <w:tcPr>
            <w:tcW w:w="2799" w:type="dxa"/>
            <w:tcBorders>
              <w:top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 xml:space="preserve">Reduktion af </w:t>
            </w:r>
            <w:r w:rsidR="00DC3C05">
              <w:rPr>
                <w:rFonts w:ascii="Times New Roman" w:hAnsi="Times New Roman" w:cs="Times New Roman"/>
                <w:i/>
                <w:color w:val="000000"/>
                <w:sz w:val="24"/>
                <w:szCs w:val="24"/>
              </w:rPr>
              <w:t xml:space="preserve">antal elever med </w:t>
            </w:r>
            <w:r w:rsidRPr="00587BAD">
              <w:rPr>
                <w:rFonts w:ascii="Times New Roman" w:hAnsi="Times New Roman" w:cs="Times New Roman"/>
                <w:i/>
                <w:color w:val="000000"/>
                <w:sz w:val="24"/>
                <w:szCs w:val="24"/>
              </w:rPr>
              <w:t>samlede forsømmelser over 15%</w:t>
            </w:r>
          </w:p>
        </w:tc>
        <w:tc>
          <w:tcPr>
            <w:tcW w:w="3307" w:type="dxa"/>
            <w:tcBorders>
              <w:top w:val="single" w:sz="8" w:space="0" w:color="auto"/>
              <w:left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En reduktion sammenlignet med de foregående år:</w:t>
            </w:r>
          </w:p>
          <w:p w:rsidR="00401304" w:rsidRPr="0054283F" w:rsidRDefault="00401304" w:rsidP="00844F29">
            <w:pPr>
              <w:autoSpaceDE w:val="0"/>
              <w:autoSpaceDN w:val="0"/>
              <w:adjustRightInd w:val="0"/>
              <w:rPr>
                <w:rFonts w:ascii="Times New Roman" w:hAnsi="Times New Roman" w:cs="Times New Roman"/>
                <w:i/>
                <w:color w:val="000000"/>
                <w:sz w:val="24"/>
                <w:szCs w:val="24"/>
                <w:highlight w:val="yellow"/>
              </w:rPr>
            </w:pPr>
            <w:r w:rsidRPr="00587BAD">
              <w:rPr>
                <w:rFonts w:ascii="Times New Roman" w:hAnsi="Times New Roman" w:cs="Times New Roman"/>
                <w:i/>
                <w:color w:val="000000"/>
                <w:sz w:val="24"/>
                <w:szCs w:val="24"/>
              </w:rPr>
              <w:t xml:space="preserve">(2015: 79, 2016: 86, 2017: 54, 2018: 76, </w:t>
            </w:r>
            <w:r w:rsidRPr="0054283F">
              <w:rPr>
                <w:rFonts w:ascii="Times New Roman" w:hAnsi="Times New Roman" w:cs="Times New Roman"/>
                <w:i/>
                <w:color w:val="000000"/>
                <w:sz w:val="24"/>
                <w:szCs w:val="24"/>
              </w:rPr>
              <w:t>2019:</w:t>
            </w:r>
            <w:r w:rsidR="0054283F" w:rsidRPr="0054283F">
              <w:rPr>
                <w:rFonts w:ascii="Times New Roman" w:hAnsi="Times New Roman" w:cs="Times New Roman"/>
                <w:i/>
                <w:color w:val="000000"/>
                <w:sz w:val="24"/>
                <w:szCs w:val="24"/>
              </w:rPr>
              <w:t xml:space="preserve"> 61, </w:t>
            </w:r>
            <w:proofErr w:type="spellStart"/>
            <w:r w:rsidRPr="0054283F">
              <w:rPr>
                <w:rFonts w:ascii="Times New Roman" w:hAnsi="Times New Roman" w:cs="Times New Roman"/>
                <w:i/>
                <w:color w:val="000000"/>
                <w:sz w:val="24"/>
                <w:szCs w:val="24"/>
              </w:rPr>
              <w:t>gns</w:t>
            </w:r>
            <w:proofErr w:type="spellEnd"/>
            <w:r w:rsidRPr="0054283F">
              <w:rPr>
                <w:rFonts w:ascii="Times New Roman" w:hAnsi="Times New Roman" w:cs="Times New Roman"/>
                <w:i/>
                <w:color w:val="000000"/>
                <w:sz w:val="24"/>
                <w:szCs w:val="24"/>
              </w:rPr>
              <w:t xml:space="preserve">. </w:t>
            </w:r>
            <w:r w:rsidR="00587BAD" w:rsidRPr="0054283F">
              <w:rPr>
                <w:rFonts w:ascii="Times New Roman" w:hAnsi="Times New Roman" w:cs="Times New Roman"/>
                <w:i/>
                <w:color w:val="000000"/>
                <w:sz w:val="24"/>
                <w:szCs w:val="24"/>
              </w:rPr>
              <w:t>15-19</w:t>
            </w:r>
            <w:r w:rsidRPr="0054283F">
              <w:rPr>
                <w:rFonts w:ascii="Times New Roman" w:hAnsi="Times New Roman" w:cs="Times New Roman"/>
                <w:i/>
                <w:color w:val="000000"/>
                <w:sz w:val="24"/>
                <w:szCs w:val="24"/>
              </w:rPr>
              <w:t>:</w:t>
            </w:r>
            <w:r w:rsidR="0054283F" w:rsidRPr="0054283F">
              <w:rPr>
                <w:rFonts w:ascii="Times New Roman" w:hAnsi="Times New Roman" w:cs="Times New Roman"/>
                <w:i/>
                <w:color w:val="000000"/>
                <w:sz w:val="24"/>
                <w:szCs w:val="24"/>
              </w:rPr>
              <w:t xml:space="preserve"> 71</w:t>
            </w:r>
            <w:r w:rsidRPr="0054283F">
              <w:rPr>
                <w:rFonts w:ascii="Times New Roman" w:hAnsi="Times New Roman" w:cs="Times New Roman"/>
                <w:i/>
                <w:color w:val="000000"/>
                <w:sz w:val="24"/>
                <w:szCs w:val="24"/>
              </w:rPr>
              <w:t>)</w:t>
            </w:r>
          </w:p>
        </w:tc>
        <w:tc>
          <w:tcPr>
            <w:tcW w:w="3173" w:type="dxa"/>
            <w:tcBorders>
              <w:top w:val="single" w:sz="8" w:space="0" w:color="auto"/>
              <w:left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bCs/>
                <w:i/>
                <w:sz w:val="24"/>
                <w:szCs w:val="24"/>
              </w:rPr>
            </w:pPr>
            <w:r w:rsidRPr="00587BAD">
              <w:rPr>
                <w:rFonts w:ascii="Times New Roman" w:hAnsi="Times New Roman" w:cs="Times New Roman"/>
                <w:bCs/>
                <w:i/>
                <w:sz w:val="24"/>
                <w:szCs w:val="24"/>
              </w:rPr>
              <w:t>28</w:t>
            </w:r>
          </w:p>
          <w:p w:rsidR="00401304" w:rsidRPr="00587BAD" w:rsidRDefault="00401304" w:rsidP="00844F29">
            <w:pPr>
              <w:autoSpaceDE w:val="0"/>
              <w:autoSpaceDN w:val="0"/>
              <w:adjustRightInd w:val="0"/>
              <w:rPr>
                <w:rFonts w:ascii="Times New Roman" w:hAnsi="Times New Roman" w:cs="Times New Roman"/>
                <w:bCs/>
                <w:i/>
                <w:sz w:val="24"/>
                <w:szCs w:val="24"/>
              </w:rPr>
            </w:pPr>
          </w:p>
          <w:p w:rsidR="00401304" w:rsidRPr="00587BAD" w:rsidRDefault="00401304" w:rsidP="00844F29">
            <w:pPr>
              <w:autoSpaceDE w:val="0"/>
              <w:autoSpaceDN w:val="0"/>
              <w:adjustRightInd w:val="0"/>
              <w:rPr>
                <w:rFonts w:ascii="Times New Roman" w:hAnsi="Times New Roman" w:cs="Times New Roman"/>
                <w:bCs/>
                <w:i/>
                <w:sz w:val="24"/>
                <w:szCs w:val="24"/>
              </w:rPr>
            </w:pPr>
          </w:p>
        </w:tc>
      </w:tr>
      <w:tr w:rsidR="00401304" w:rsidRPr="00587BAD" w:rsidTr="00587BAD">
        <w:trPr>
          <w:trHeight w:val="1438"/>
        </w:trPr>
        <w:tc>
          <w:tcPr>
            <w:tcW w:w="2799" w:type="dxa"/>
            <w:tcBorders>
              <w:top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 xml:space="preserve">Reduktion af </w:t>
            </w:r>
            <w:r w:rsidR="00DC3C05">
              <w:rPr>
                <w:rFonts w:ascii="Times New Roman" w:hAnsi="Times New Roman" w:cs="Times New Roman"/>
                <w:i/>
                <w:color w:val="000000"/>
                <w:sz w:val="24"/>
                <w:szCs w:val="24"/>
              </w:rPr>
              <w:t xml:space="preserve">antal elever med </w:t>
            </w:r>
            <w:r w:rsidRPr="00587BAD">
              <w:rPr>
                <w:rFonts w:ascii="Times New Roman" w:hAnsi="Times New Roman" w:cs="Times New Roman"/>
                <w:i/>
                <w:color w:val="000000"/>
                <w:sz w:val="24"/>
                <w:szCs w:val="24"/>
              </w:rPr>
              <w:t>samlede skriftlige forsømmelser over 15%</w:t>
            </w:r>
          </w:p>
        </w:tc>
        <w:tc>
          <w:tcPr>
            <w:tcW w:w="3307" w:type="dxa"/>
            <w:tcBorders>
              <w:top w:val="single" w:sz="8" w:space="0" w:color="auto"/>
              <w:left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En reduktion sammenlignet med de foregående år:</w:t>
            </w:r>
          </w:p>
          <w:p w:rsidR="00401304" w:rsidRPr="00587BAD" w:rsidRDefault="00401304" w:rsidP="00844F29">
            <w:pPr>
              <w:autoSpaceDE w:val="0"/>
              <w:autoSpaceDN w:val="0"/>
              <w:adjustRightInd w:val="0"/>
              <w:rPr>
                <w:rFonts w:ascii="Times New Roman" w:hAnsi="Times New Roman" w:cs="Times New Roman"/>
                <w:i/>
                <w:color w:val="000000"/>
                <w:sz w:val="24"/>
                <w:szCs w:val="24"/>
              </w:rPr>
            </w:pPr>
            <w:r w:rsidRPr="00587BAD">
              <w:rPr>
                <w:rFonts w:ascii="Times New Roman" w:hAnsi="Times New Roman" w:cs="Times New Roman"/>
                <w:i/>
                <w:color w:val="000000"/>
                <w:sz w:val="24"/>
                <w:szCs w:val="24"/>
              </w:rPr>
              <w:t xml:space="preserve">(2015: 55, 2016: 41, 2017: 30, 2018: 37, </w:t>
            </w:r>
            <w:r w:rsidRPr="00DC3C05">
              <w:rPr>
                <w:rFonts w:ascii="Times New Roman" w:hAnsi="Times New Roman" w:cs="Times New Roman"/>
                <w:i/>
                <w:color w:val="000000"/>
                <w:sz w:val="24"/>
                <w:szCs w:val="24"/>
              </w:rPr>
              <w:t xml:space="preserve">2019: </w:t>
            </w:r>
            <w:r w:rsidR="0054283F" w:rsidRPr="00DC3C05">
              <w:rPr>
                <w:rFonts w:ascii="Times New Roman" w:hAnsi="Times New Roman" w:cs="Times New Roman"/>
                <w:i/>
                <w:color w:val="000000"/>
                <w:sz w:val="24"/>
                <w:szCs w:val="24"/>
              </w:rPr>
              <w:t>33,</w:t>
            </w:r>
            <w:r w:rsidRPr="00DC3C05">
              <w:rPr>
                <w:rFonts w:ascii="Times New Roman" w:hAnsi="Times New Roman" w:cs="Times New Roman"/>
                <w:i/>
                <w:color w:val="000000"/>
                <w:sz w:val="24"/>
                <w:szCs w:val="24"/>
              </w:rPr>
              <w:t xml:space="preserve"> </w:t>
            </w:r>
            <w:proofErr w:type="spellStart"/>
            <w:r w:rsidRPr="00DC3C05">
              <w:rPr>
                <w:rFonts w:ascii="Times New Roman" w:hAnsi="Times New Roman" w:cs="Times New Roman"/>
                <w:i/>
                <w:color w:val="000000"/>
                <w:sz w:val="24"/>
                <w:szCs w:val="24"/>
              </w:rPr>
              <w:t>gns</w:t>
            </w:r>
            <w:proofErr w:type="spellEnd"/>
            <w:r w:rsidRPr="00DC3C05">
              <w:rPr>
                <w:rFonts w:ascii="Times New Roman" w:hAnsi="Times New Roman" w:cs="Times New Roman"/>
                <w:i/>
                <w:color w:val="000000"/>
                <w:sz w:val="24"/>
                <w:szCs w:val="24"/>
              </w:rPr>
              <w:t>. 1</w:t>
            </w:r>
            <w:r w:rsidR="00587BAD" w:rsidRPr="00DC3C05">
              <w:rPr>
                <w:rFonts w:ascii="Times New Roman" w:hAnsi="Times New Roman" w:cs="Times New Roman"/>
                <w:i/>
                <w:color w:val="000000"/>
                <w:sz w:val="24"/>
                <w:szCs w:val="24"/>
              </w:rPr>
              <w:t>5-19</w:t>
            </w:r>
            <w:r w:rsidRPr="00DC3C05">
              <w:rPr>
                <w:rFonts w:ascii="Times New Roman" w:hAnsi="Times New Roman" w:cs="Times New Roman"/>
                <w:i/>
                <w:color w:val="000000"/>
                <w:sz w:val="24"/>
                <w:szCs w:val="24"/>
              </w:rPr>
              <w:t xml:space="preserve">: </w:t>
            </w:r>
            <w:r w:rsidR="00DC3C05" w:rsidRPr="00DC3C05">
              <w:rPr>
                <w:rFonts w:ascii="Times New Roman" w:hAnsi="Times New Roman" w:cs="Times New Roman"/>
                <w:i/>
                <w:color w:val="000000"/>
                <w:sz w:val="24"/>
                <w:szCs w:val="24"/>
              </w:rPr>
              <w:t>39</w:t>
            </w:r>
            <w:r w:rsidRPr="00DC3C05">
              <w:rPr>
                <w:rFonts w:ascii="Times New Roman" w:hAnsi="Times New Roman" w:cs="Times New Roman"/>
                <w:i/>
                <w:color w:val="000000"/>
                <w:sz w:val="24"/>
                <w:szCs w:val="24"/>
              </w:rPr>
              <w:t>)</w:t>
            </w:r>
          </w:p>
        </w:tc>
        <w:tc>
          <w:tcPr>
            <w:tcW w:w="3173" w:type="dxa"/>
            <w:tcBorders>
              <w:top w:val="single" w:sz="8" w:space="0" w:color="auto"/>
              <w:left w:val="single" w:sz="8" w:space="0" w:color="auto"/>
              <w:bottom w:val="single" w:sz="8" w:space="0" w:color="auto"/>
              <w:right w:val="single" w:sz="8" w:space="0" w:color="auto"/>
            </w:tcBorders>
          </w:tcPr>
          <w:p w:rsidR="00401304" w:rsidRPr="00587BAD" w:rsidRDefault="00401304" w:rsidP="00844F29">
            <w:pPr>
              <w:autoSpaceDE w:val="0"/>
              <w:autoSpaceDN w:val="0"/>
              <w:adjustRightInd w:val="0"/>
              <w:rPr>
                <w:rFonts w:ascii="Times New Roman" w:hAnsi="Times New Roman" w:cs="Times New Roman"/>
                <w:bCs/>
                <w:i/>
                <w:sz w:val="24"/>
                <w:szCs w:val="24"/>
              </w:rPr>
            </w:pPr>
            <w:r w:rsidRPr="00587BAD">
              <w:rPr>
                <w:rFonts w:ascii="Times New Roman" w:hAnsi="Times New Roman" w:cs="Times New Roman"/>
                <w:bCs/>
                <w:i/>
                <w:sz w:val="24"/>
                <w:szCs w:val="24"/>
              </w:rPr>
              <w:t>45</w:t>
            </w:r>
          </w:p>
        </w:tc>
      </w:tr>
    </w:tbl>
    <w:p w:rsidR="00BF4BBE" w:rsidRDefault="00BF4BBE" w:rsidP="0054283F">
      <w:pPr>
        <w:rPr>
          <w:rFonts w:ascii="Times New Roman" w:hAnsi="Times New Roman" w:cs="Times New Roman"/>
          <w:i/>
          <w:sz w:val="24"/>
          <w:szCs w:val="24"/>
        </w:rPr>
      </w:pPr>
    </w:p>
    <w:p w:rsidR="0054283F" w:rsidRPr="0054283F" w:rsidRDefault="00BF4BBE" w:rsidP="0054283F">
      <w:pPr>
        <w:rPr>
          <w:rFonts w:ascii="Times New Roman" w:hAnsi="Times New Roman" w:cs="Times New Roman"/>
          <w:i/>
          <w:sz w:val="24"/>
          <w:szCs w:val="24"/>
        </w:rPr>
      </w:pPr>
      <w:r>
        <w:rPr>
          <w:rFonts w:ascii="Times New Roman" w:hAnsi="Times New Roman" w:cs="Times New Roman"/>
          <w:i/>
          <w:sz w:val="24"/>
          <w:szCs w:val="24"/>
        </w:rPr>
        <w:lastRenderedPageBreak/>
        <w:t xml:space="preserve">Konklusion: </w:t>
      </w:r>
      <w:r w:rsidR="0054283F" w:rsidRPr="0054283F">
        <w:rPr>
          <w:rFonts w:ascii="Times New Roman" w:hAnsi="Times New Roman" w:cs="Times New Roman"/>
          <w:i/>
          <w:sz w:val="24"/>
          <w:szCs w:val="24"/>
        </w:rPr>
        <w:t xml:space="preserve">Tallene viser, at vi </w:t>
      </w:r>
      <w:r w:rsidR="00DC3C05">
        <w:rPr>
          <w:rFonts w:ascii="Times New Roman" w:hAnsi="Times New Roman" w:cs="Times New Roman"/>
          <w:i/>
          <w:sz w:val="24"/>
          <w:szCs w:val="24"/>
        </w:rPr>
        <w:t xml:space="preserve">i år </w:t>
      </w:r>
      <w:r w:rsidR="0054283F" w:rsidRPr="0054283F">
        <w:rPr>
          <w:rFonts w:ascii="Times New Roman" w:hAnsi="Times New Roman" w:cs="Times New Roman"/>
          <w:i/>
          <w:sz w:val="24"/>
          <w:szCs w:val="24"/>
        </w:rPr>
        <w:t xml:space="preserve">har nået målet om et samlet fysisk fremmøde på </w:t>
      </w:r>
      <w:r>
        <w:rPr>
          <w:rFonts w:ascii="Times New Roman" w:hAnsi="Times New Roman" w:cs="Times New Roman"/>
          <w:i/>
          <w:sz w:val="24"/>
          <w:szCs w:val="24"/>
        </w:rPr>
        <w:t xml:space="preserve">over </w:t>
      </w:r>
      <w:r w:rsidR="0054283F" w:rsidRPr="0054283F">
        <w:rPr>
          <w:rFonts w:ascii="Times New Roman" w:hAnsi="Times New Roman" w:cs="Times New Roman"/>
          <w:i/>
          <w:sz w:val="24"/>
          <w:szCs w:val="24"/>
        </w:rPr>
        <w:t>92%</w:t>
      </w:r>
      <w:r w:rsidR="00DC3C05">
        <w:rPr>
          <w:rFonts w:ascii="Times New Roman" w:hAnsi="Times New Roman" w:cs="Times New Roman"/>
          <w:i/>
          <w:sz w:val="24"/>
          <w:szCs w:val="24"/>
        </w:rPr>
        <w:t xml:space="preserve">. Det skal dog bemærkes, at tallet er fremkommet på baggrund af </w:t>
      </w:r>
      <w:proofErr w:type="spellStart"/>
      <w:r w:rsidR="00DC3C05">
        <w:rPr>
          <w:rFonts w:ascii="Times New Roman" w:hAnsi="Times New Roman" w:cs="Times New Roman"/>
          <w:i/>
          <w:sz w:val="24"/>
          <w:szCs w:val="24"/>
        </w:rPr>
        <w:t>coronaperioden</w:t>
      </w:r>
      <w:proofErr w:type="spellEnd"/>
      <w:r w:rsidR="00DC3C05">
        <w:rPr>
          <w:rFonts w:ascii="Times New Roman" w:hAnsi="Times New Roman" w:cs="Times New Roman"/>
          <w:i/>
          <w:sz w:val="24"/>
          <w:szCs w:val="24"/>
        </w:rPr>
        <w:t xml:space="preserve">. Igen i år nås måltallet omkring antal afleverede skriftlige opgaver også. Det samme gælder </w:t>
      </w:r>
      <w:r w:rsidR="0054283F" w:rsidRPr="0054283F">
        <w:rPr>
          <w:rFonts w:ascii="Times New Roman" w:hAnsi="Times New Roman" w:cs="Times New Roman"/>
          <w:i/>
          <w:sz w:val="24"/>
          <w:szCs w:val="24"/>
        </w:rPr>
        <w:t>antallet a</w:t>
      </w:r>
      <w:r w:rsidR="00DC3C05">
        <w:rPr>
          <w:rFonts w:ascii="Times New Roman" w:hAnsi="Times New Roman" w:cs="Times New Roman"/>
          <w:i/>
          <w:sz w:val="24"/>
          <w:szCs w:val="24"/>
        </w:rPr>
        <w:t>f</w:t>
      </w:r>
      <w:r w:rsidR="0054283F" w:rsidRPr="0054283F">
        <w:rPr>
          <w:rFonts w:ascii="Times New Roman" w:hAnsi="Times New Roman" w:cs="Times New Roman"/>
          <w:i/>
          <w:sz w:val="24"/>
          <w:szCs w:val="24"/>
        </w:rPr>
        <w:t xml:space="preserve"> elever med et samlet fravær over 15%, hvor tallene er reduceret </w:t>
      </w:r>
      <w:r w:rsidR="00DC3C05">
        <w:rPr>
          <w:rFonts w:ascii="Times New Roman" w:hAnsi="Times New Roman" w:cs="Times New Roman"/>
          <w:i/>
          <w:sz w:val="24"/>
          <w:szCs w:val="24"/>
        </w:rPr>
        <w:t xml:space="preserve">markant </w:t>
      </w:r>
      <w:r w:rsidR="0054283F" w:rsidRPr="0054283F">
        <w:rPr>
          <w:rFonts w:ascii="Times New Roman" w:hAnsi="Times New Roman" w:cs="Times New Roman"/>
          <w:i/>
          <w:sz w:val="24"/>
          <w:szCs w:val="24"/>
        </w:rPr>
        <w:t>i forhold til året før.</w:t>
      </w:r>
      <w:r w:rsidR="00DC3C05">
        <w:rPr>
          <w:rFonts w:ascii="Times New Roman" w:hAnsi="Times New Roman" w:cs="Times New Roman"/>
          <w:i/>
          <w:sz w:val="24"/>
          <w:szCs w:val="24"/>
        </w:rPr>
        <w:t xml:space="preserve"> Der er dog sket en stigning i antal elever med samlede </w:t>
      </w:r>
      <w:r>
        <w:rPr>
          <w:rFonts w:ascii="Times New Roman" w:hAnsi="Times New Roman" w:cs="Times New Roman"/>
          <w:i/>
          <w:sz w:val="24"/>
          <w:szCs w:val="24"/>
        </w:rPr>
        <w:t>skriftlige</w:t>
      </w:r>
      <w:r w:rsidR="00DC3C05">
        <w:rPr>
          <w:rFonts w:ascii="Times New Roman" w:hAnsi="Times New Roman" w:cs="Times New Roman"/>
          <w:i/>
          <w:sz w:val="24"/>
          <w:szCs w:val="24"/>
        </w:rPr>
        <w:t xml:space="preserve"> forsømmelser over 15% og her opnås måltallet ikke.</w:t>
      </w:r>
    </w:p>
    <w:p w:rsidR="00484C90" w:rsidRPr="001052CE" w:rsidRDefault="00484C90" w:rsidP="00484C90">
      <w:pPr>
        <w:spacing w:line="276" w:lineRule="auto"/>
        <w:rPr>
          <w:rFonts w:ascii="Times New Roman" w:hAnsi="Times New Roman" w:cs="Times New Roman"/>
          <w:i/>
          <w:sz w:val="24"/>
          <w:szCs w:val="24"/>
        </w:rPr>
      </w:pPr>
      <w:r w:rsidRPr="001052CE">
        <w:rPr>
          <w:rFonts w:ascii="Times New Roman" w:hAnsi="Times New Roman" w:cs="Times New Roman"/>
          <w:i/>
          <w:sz w:val="24"/>
          <w:szCs w:val="24"/>
        </w:rPr>
        <w:t>Opfølgning:</w:t>
      </w:r>
      <w:r w:rsidR="00BF4BBE" w:rsidRPr="001052CE">
        <w:rPr>
          <w:rFonts w:ascii="Times New Roman" w:hAnsi="Times New Roman" w:cs="Times New Roman"/>
          <w:i/>
          <w:sz w:val="24"/>
          <w:szCs w:val="24"/>
        </w:rPr>
        <w:t xml:space="preserve"> Der skal fremadrettet arbejdes med at begrænse antallet af elever med skriftlige forsømmelser på over 15%. Dette vil være en del af næste skoleårs kvalitetsplan.</w:t>
      </w:r>
    </w:p>
    <w:p w:rsidR="00542D53" w:rsidRPr="001B6FFD" w:rsidRDefault="00542D53" w:rsidP="00542D53">
      <w:pPr>
        <w:spacing w:after="0" w:line="276" w:lineRule="auto"/>
        <w:ind w:left="1800"/>
        <w:rPr>
          <w:rFonts w:ascii="Times New Roman" w:hAnsi="Times New Roman" w:cs="Times New Roman"/>
          <w:sz w:val="24"/>
          <w:szCs w:val="24"/>
        </w:rPr>
      </w:pPr>
    </w:p>
    <w:p w:rsidR="001B6FFD" w:rsidRDefault="001B6FFD" w:rsidP="00542D53">
      <w:pPr>
        <w:pStyle w:val="Listeafsnit"/>
        <w:numPr>
          <w:ilvl w:val="0"/>
          <w:numId w:val="16"/>
        </w:numPr>
        <w:spacing w:line="276" w:lineRule="auto"/>
        <w:rPr>
          <w:rFonts w:ascii="Times New Roman" w:hAnsi="Times New Roman" w:cs="Times New Roman"/>
          <w:sz w:val="24"/>
          <w:szCs w:val="24"/>
        </w:rPr>
      </w:pPr>
      <w:r w:rsidRPr="00542D53">
        <w:rPr>
          <w:rFonts w:ascii="Times New Roman" w:hAnsi="Times New Roman" w:cs="Times New Roman"/>
          <w:sz w:val="24"/>
          <w:szCs w:val="24"/>
        </w:rPr>
        <w:t>I skolens handlingsplaner indgår desuden en handlingsplan omkring elevfrafald – se bilag 1, strategi 12. Denne handlingsplan skal være opfyldt.</w:t>
      </w:r>
    </w:p>
    <w:p w:rsidR="001C4630" w:rsidRDefault="001C4630" w:rsidP="001C4630">
      <w:pPr>
        <w:pStyle w:val="Listeafsnit"/>
        <w:spacing w:line="276" w:lineRule="auto"/>
        <w:rPr>
          <w:rFonts w:ascii="Times New Roman" w:hAnsi="Times New Roman" w:cs="Times New Roman"/>
          <w:sz w:val="24"/>
          <w:szCs w:val="24"/>
        </w:rPr>
      </w:pPr>
    </w:p>
    <w:p w:rsidR="00BF4BBE" w:rsidRDefault="00BF4BBE" w:rsidP="00BF4B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Der henvises til opfølgningen på skolens handlingsplaner i bilag 1. </w:t>
      </w:r>
    </w:p>
    <w:p w:rsidR="001C4630" w:rsidRPr="00BF4BBE" w:rsidRDefault="00BF4BBE" w:rsidP="00BF4B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Konklusion: </w:t>
      </w:r>
      <w:r w:rsidR="001C4630" w:rsidRPr="00BF4BBE">
        <w:rPr>
          <w:rFonts w:ascii="Times New Roman" w:hAnsi="Times New Roman" w:cs="Times New Roman"/>
          <w:i/>
          <w:sz w:val="24"/>
          <w:szCs w:val="24"/>
        </w:rPr>
        <w:t>Strategien er jævnfør opfølgningen på skolens handlingspla</w:t>
      </w:r>
      <w:r>
        <w:rPr>
          <w:rFonts w:ascii="Times New Roman" w:hAnsi="Times New Roman" w:cs="Times New Roman"/>
          <w:i/>
          <w:sz w:val="24"/>
          <w:szCs w:val="24"/>
        </w:rPr>
        <w:t>ner opfyldt.</w:t>
      </w:r>
    </w:p>
    <w:p w:rsidR="00484C90" w:rsidRPr="00BF4BBE" w:rsidRDefault="00484C90" w:rsidP="00484C90">
      <w:pPr>
        <w:spacing w:line="276" w:lineRule="auto"/>
        <w:rPr>
          <w:rFonts w:ascii="Times New Roman" w:hAnsi="Times New Roman" w:cs="Times New Roman"/>
          <w:i/>
          <w:sz w:val="24"/>
          <w:szCs w:val="24"/>
        </w:rPr>
      </w:pPr>
      <w:r w:rsidRPr="00BF4BBE">
        <w:rPr>
          <w:rFonts w:ascii="Times New Roman" w:hAnsi="Times New Roman" w:cs="Times New Roman"/>
          <w:i/>
          <w:sz w:val="24"/>
          <w:szCs w:val="24"/>
        </w:rPr>
        <w:t>Opfølgning:</w:t>
      </w:r>
      <w:r w:rsidR="00BF4BBE" w:rsidRPr="00BF4BBE">
        <w:rPr>
          <w:rFonts w:ascii="Times New Roman" w:hAnsi="Times New Roman" w:cs="Times New Roman"/>
          <w:i/>
          <w:sz w:val="24"/>
          <w:szCs w:val="24"/>
        </w:rPr>
        <w:t xml:space="preserve"> Der arbejdes i det kommende skoleår med den nye strategi til begrænsning af frafald.</w:t>
      </w:r>
    </w:p>
    <w:p w:rsidR="00DA2BEC" w:rsidRPr="001B4FFF" w:rsidRDefault="00DA2BEC" w:rsidP="001C4630">
      <w:pPr>
        <w:spacing w:line="276" w:lineRule="auto"/>
        <w:ind w:left="720"/>
        <w:rPr>
          <w:rFonts w:ascii="Times New Roman" w:hAnsi="Times New Roman" w:cs="Times New Roman"/>
          <w:b/>
          <w:color w:val="4472C4" w:themeColor="accent5"/>
          <w:sz w:val="24"/>
          <w:szCs w:val="24"/>
        </w:rPr>
      </w:pPr>
    </w:p>
    <w:p w:rsidR="00DA2BEC" w:rsidRPr="001A1998" w:rsidRDefault="00DA2BEC" w:rsidP="001A1998">
      <w:pPr>
        <w:pStyle w:val="Listeafsnit"/>
        <w:numPr>
          <w:ilvl w:val="0"/>
          <w:numId w:val="3"/>
        </w:numPr>
        <w:spacing w:line="276" w:lineRule="auto"/>
        <w:rPr>
          <w:rFonts w:ascii="Times New Roman" w:hAnsi="Times New Roman" w:cs="Times New Roman"/>
          <w:b/>
          <w:sz w:val="28"/>
          <w:szCs w:val="28"/>
        </w:rPr>
      </w:pPr>
      <w:r w:rsidRPr="001A1998">
        <w:rPr>
          <w:rFonts w:ascii="Times New Roman" w:hAnsi="Times New Roman" w:cs="Times New Roman"/>
          <w:b/>
          <w:sz w:val="28"/>
          <w:szCs w:val="28"/>
        </w:rPr>
        <w:t>Undervisningsevaluering</w:t>
      </w:r>
    </w:p>
    <w:p w:rsidR="00A15C44" w:rsidRPr="006112FB" w:rsidRDefault="00A15C44" w:rsidP="00A308EE">
      <w:pPr>
        <w:spacing w:line="276" w:lineRule="auto"/>
        <w:jc w:val="both"/>
        <w:rPr>
          <w:rFonts w:ascii="Times New Roman" w:hAnsi="Times New Roman" w:cs="Times New Roman"/>
          <w:sz w:val="24"/>
          <w:szCs w:val="24"/>
        </w:rPr>
      </w:pPr>
      <w:r w:rsidRPr="006112FB">
        <w:rPr>
          <w:rFonts w:ascii="Times New Roman" w:hAnsi="Times New Roman" w:cs="Times New Roman"/>
          <w:sz w:val="24"/>
          <w:szCs w:val="24"/>
        </w:rPr>
        <w:t>Retningslinjerne for undervisningsevaluering på Aarhus Katedralskoles er følgende: På alle hold evaluerer eleverne undervisningen to gange årligt. Evalueringen sker anonymt og skriftligt og efter hver evaluering er der en mundtlig efterbehandling i dialog med klassen. De vigtigste punkter sammenfattes og fastholdes i en evalueringslog i Teams, som holdet har let og løbende adgang til. Ledelsen har læseadgang til sammenfatningerne, og disse medbringes til MUS.</w:t>
      </w:r>
    </w:p>
    <w:p w:rsidR="00DA2BEC" w:rsidRPr="00A308EE" w:rsidRDefault="00DA2BEC" w:rsidP="00A308EE">
      <w:pPr>
        <w:spacing w:line="276" w:lineRule="auto"/>
        <w:rPr>
          <w:rFonts w:ascii="Times New Roman" w:hAnsi="Times New Roman" w:cs="Times New Roman"/>
          <w:b/>
          <w:sz w:val="24"/>
          <w:szCs w:val="24"/>
        </w:rPr>
      </w:pPr>
      <w:r w:rsidRPr="00A308EE">
        <w:rPr>
          <w:rFonts w:ascii="Times New Roman" w:hAnsi="Times New Roman" w:cs="Times New Roman"/>
          <w:b/>
          <w:sz w:val="24"/>
          <w:szCs w:val="24"/>
        </w:rPr>
        <w:t>Kvalitetsmål 19-20:</w:t>
      </w:r>
    </w:p>
    <w:p w:rsidR="00DA2BEC" w:rsidRPr="006112FB" w:rsidRDefault="00A15C44" w:rsidP="00A308EE">
      <w:pPr>
        <w:pStyle w:val="Listeafsnit"/>
        <w:numPr>
          <w:ilvl w:val="0"/>
          <w:numId w:val="13"/>
        </w:numPr>
        <w:spacing w:line="276" w:lineRule="auto"/>
        <w:rPr>
          <w:rFonts w:ascii="Times New Roman" w:hAnsi="Times New Roman" w:cs="Times New Roman"/>
          <w:sz w:val="24"/>
          <w:szCs w:val="24"/>
        </w:rPr>
      </w:pPr>
      <w:r w:rsidRPr="006112FB">
        <w:rPr>
          <w:rFonts w:ascii="Times New Roman" w:hAnsi="Times New Roman" w:cs="Times New Roman"/>
          <w:sz w:val="24"/>
          <w:szCs w:val="24"/>
        </w:rPr>
        <w:t xml:space="preserve">Det er målet, at undervisningen på alle hold evalueres efter skolens retningslinjer. </w:t>
      </w:r>
    </w:p>
    <w:p w:rsidR="004502B2" w:rsidRPr="004502B2" w:rsidRDefault="004502B2" w:rsidP="004502B2">
      <w:pPr>
        <w:spacing w:line="276" w:lineRule="auto"/>
        <w:rPr>
          <w:rFonts w:ascii="Times New Roman" w:hAnsi="Times New Roman" w:cs="Times New Roman"/>
          <w:i/>
          <w:iCs/>
          <w:sz w:val="24"/>
          <w:szCs w:val="24"/>
        </w:rPr>
      </w:pPr>
      <w:r w:rsidRPr="004502B2">
        <w:rPr>
          <w:rFonts w:ascii="Times New Roman" w:eastAsia="Times New Roman" w:hAnsi="Times New Roman" w:cs="Times New Roman"/>
          <w:i/>
          <w:iCs/>
          <w:sz w:val="24"/>
          <w:szCs w:val="24"/>
        </w:rPr>
        <w:t>Pædagogisk udvalg evaluerede processen ved en lærerfokusgruppe primo maj. Tilbagemeldinger fra fokusgruppen og kommentarer fra lærerkollegiet og PU centrerede sig primært om udformning af det fælles evalueringsspørgeskema. Generelt var der positive tilbagemeldinger fra lærere og elever. PU har efterfølgende justeret spørgeskemaet, der er klar til brug i skoleåret 20/21. En optælling viser, at evalueringen er foregået på 99% af holdene efter skolens retningslinjer. Evalueringerne er delt med nærmeste leder, og resultatet er inddrages som en del af MUS.</w:t>
      </w:r>
    </w:p>
    <w:p w:rsidR="00484C90" w:rsidRPr="004502B2" w:rsidRDefault="00484C90" w:rsidP="00484C90">
      <w:pPr>
        <w:spacing w:line="276" w:lineRule="auto"/>
        <w:rPr>
          <w:rFonts w:ascii="Times New Roman" w:hAnsi="Times New Roman" w:cs="Times New Roman"/>
          <w:i/>
          <w:sz w:val="24"/>
          <w:szCs w:val="24"/>
        </w:rPr>
      </w:pPr>
      <w:r w:rsidRPr="004502B2">
        <w:rPr>
          <w:rFonts w:ascii="Times New Roman" w:hAnsi="Times New Roman" w:cs="Times New Roman"/>
          <w:i/>
          <w:sz w:val="24"/>
          <w:szCs w:val="24"/>
        </w:rPr>
        <w:t>Konklusion:</w:t>
      </w:r>
      <w:r w:rsidR="004502B2" w:rsidRPr="004502B2">
        <w:rPr>
          <w:rFonts w:ascii="Times New Roman" w:hAnsi="Times New Roman" w:cs="Times New Roman"/>
          <w:i/>
          <w:sz w:val="24"/>
          <w:szCs w:val="24"/>
        </w:rPr>
        <w:t xml:space="preserve"> Det kan konkluderes at målet er nået</w:t>
      </w:r>
    </w:p>
    <w:p w:rsidR="00484C90" w:rsidRPr="004502B2" w:rsidRDefault="00484C90" w:rsidP="00484C90">
      <w:pPr>
        <w:spacing w:line="276" w:lineRule="auto"/>
        <w:rPr>
          <w:rFonts w:ascii="Times New Roman" w:hAnsi="Times New Roman" w:cs="Times New Roman"/>
          <w:i/>
          <w:sz w:val="24"/>
          <w:szCs w:val="24"/>
        </w:rPr>
      </w:pPr>
      <w:r w:rsidRPr="004502B2">
        <w:rPr>
          <w:rFonts w:ascii="Times New Roman" w:hAnsi="Times New Roman" w:cs="Times New Roman"/>
          <w:i/>
          <w:sz w:val="24"/>
          <w:szCs w:val="24"/>
        </w:rPr>
        <w:t>Opfølgning:</w:t>
      </w:r>
      <w:r w:rsidR="004502B2" w:rsidRPr="004502B2">
        <w:rPr>
          <w:rFonts w:ascii="Times New Roman" w:hAnsi="Times New Roman" w:cs="Times New Roman"/>
          <w:i/>
          <w:sz w:val="24"/>
          <w:szCs w:val="24"/>
        </w:rPr>
        <w:t xml:space="preserve"> Der arbejdes fremadrettet med det justerede spørgeskema ved </w:t>
      </w:r>
      <w:proofErr w:type="gramStart"/>
      <w:r w:rsidR="00656A63">
        <w:rPr>
          <w:rFonts w:ascii="Times New Roman" w:hAnsi="Times New Roman" w:cs="Times New Roman"/>
          <w:i/>
          <w:sz w:val="24"/>
          <w:szCs w:val="24"/>
        </w:rPr>
        <w:t>efterårets(</w:t>
      </w:r>
      <w:proofErr w:type="gramEnd"/>
      <w:r w:rsidR="00656A63">
        <w:rPr>
          <w:rFonts w:ascii="Times New Roman" w:hAnsi="Times New Roman" w:cs="Times New Roman"/>
          <w:i/>
          <w:sz w:val="24"/>
          <w:szCs w:val="24"/>
        </w:rPr>
        <w:t>3.g)/</w:t>
      </w:r>
      <w:r w:rsidR="004502B2" w:rsidRPr="004502B2">
        <w:rPr>
          <w:rFonts w:ascii="Times New Roman" w:hAnsi="Times New Roman" w:cs="Times New Roman"/>
          <w:i/>
          <w:sz w:val="24"/>
          <w:szCs w:val="24"/>
        </w:rPr>
        <w:t>forårets evaluering</w:t>
      </w:r>
      <w:r w:rsidR="00656A63">
        <w:rPr>
          <w:rFonts w:ascii="Times New Roman" w:hAnsi="Times New Roman" w:cs="Times New Roman"/>
          <w:i/>
          <w:sz w:val="24"/>
          <w:szCs w:val="24"/>
        </w:rPr>
        <w:t xml:space="preserve"> (1.g og 2.g)</w:t>
      </w:r>
      <w:r w:rsidR="004502B2" w:rsidRPr="004502B2">
        <w:rPr>
          <w:rFonts w:ascii="Times New Roman" w:hAnsi="Times New Roman" w:cs="Times New Roman"/>
          <w:i/>
          <w:sz w:val="24"/>
          <w:szCs w:val="24"/>
        </w:rPr>
        <w:t>, mens læreren selv kan tilrettelægge efterårets evaluering.</w:t>
      </w:r>
    </w:p>
    <w:p w:rsidR="00DA2BEC" w:rsidRPr="001B4FFF" w:rsidRDefault="00DA2BEC" w:rsidP="00A308EE">
      <w:pPr>
        <w:spacing w:line="276" w:lineRule="auto"/>
        <w:rPr>
          <w:rFonts w:ascii="Times New Roman" w:hAnsi="Times New Roman" w:cs="Times New Roman"/>
          <w:b/>
          <w:color w:val="4472C4" w:themeColor="accent5"/>
          <w:sz w:val="24"/>
          <w:szCs w:val="24"/>
        </w:rPr>
      </w:pPr>
    </w:p>
    <w:p w:rsidR="00DA2BEC" w:rsidRPr="00A308EE" w:rsidRDefault="00DA2BEC" w:rsidP="001A1998">
      <w:pPr>
        <w:pStyle w:val="Listeafsnit"/>
        <w:numPr>
          <w:ilvl w:val="0"/>
          <w:numId w:val="3"/>
        </w:numPr>
        <w:spacing w:line="276" w:lineRule="auto"/>
        <w:rPr>
          <w:rFonts w:ascii="Times New Roman" w:hAnsi="Times New Roman" w:cs="Times New Roman"/>
          <w:b/>
          <w:sz w:val="28"/>
          <w:szCs w:val="28"/>
        </w:rPr>
      </w:pPr>
      <w:r w:rsidRPr="00A308EE">
        <w:rPr>
          <w:rFonts w:ascii="Times New Roman" w:hAnsi="Times New Roman" w:cs="Times New Roman"/>
          <w:b/>
          <w:sz w:val="28"/>
          <w:szCs w:val="28"/>
        </w:rPr>
        <w:t>Løbende evaluering af elevernes faglige udvikling</w:t>
      </w:r>
    </w:p>
    <w:p w:rsidR="005F2E00" w:rsidRPr="00A308EE" w:rsidRDefault="005F2E00" w:rsidP="00A308EE">
      <w:pPr>
        <w:pStyle w:val="bodytext"/>
        <w:shd w:val="clear" w:color="auto" w:fill="FFFFFF"/>
        <w:spacing w:before="0" w:beforeAutospacing="0" w:line="276" w:lineRule="auto"/>
      </w:pPr>
      <w:r w:rsidRPr="00A308EE">
        <w:rPr>
          <w:rFonts w:eastAsiaTheme="minorHAnsi"/>
          <w:lang w:eastAsia="en-US"/>
        </w:rPr>
        <w:lastRenderedPageBreak/>
        <w:t>Den enkelte faglærer evaluerer løbende elevens indsats og udbytte. Det sker i den daglige undervisning og i forbindelse med skriftlige opgaver, projekter</w:t>
      </w:r>
      <w:r w:rsidR="001B4FFF" w:rsidRPr="00A308EE">
        <w:rPr>
          <w:rFonts w:eastAsiaTheme="minorHAnsi"/>
          <w:lang w:eastAsia="en-US"/>
        </w:rPr>
        <w:t xml:space="preserve">, </w:t>
      </w:r>
      <w:r w:rsidRPr="00A308EE">
        <w:rPr>
          <w:rFonts w:eastAsiaTheme="minorHAnsi"/>
          <w:lang w:eastAsia="en-US"/>
        </w:rPr>
        <w:t>andre produkttyper</w:t>
      </w:r>
      <w:r w:rsidR="001B4FFF" w:rsidRPr="00A308EE">
        <w:rPr>
          <w:rFonts w:eastAsiaTheme="minorHAnsi"/>
          <w:lang w:eastAsia="en-US"/>
        </w:rPr>
        <w:t xml:space="preserve"> og terminsprøver</w:t>
      </w:r>
      <w:r w:rsidRPr="00A308EE">
        <w:rPr>
          <w:rFonts w:eastAsiaTheme="minorHAnsi"/>
          <w:lang w:eastAsia="en-US"/>
        </w:rPr>
        <w:t xml:space="preserve">. </w:t>
      </w:r>
      <w:r w:rsidR="001B4FFF" w:rsidRPr="00A308EE">
        <w:rPr>
          <w:rFonts w:eastAsiaTheme="minorHAnsi"/>
          <w:lang w:eastAsia="en-US"/>
        </w:rPr>
        <w:t>I 1.g i grundforløbet foregår d</w:t>
      </w:r>
      <w:r w:rsidRPr="00A308EE">
        <w:t xml:space="preserve">en løbende interne evaluering af elevernes faglige standpunkt </w:t>
      </w:r>
      <w:r w:rsidR="001B4FFF" w:rsidRPr="00A308EE">
        <w:t xml:space="preserve">endvidere i form af en </w:t>
      </w:r>
      <w:r w:rsidRPr="00A308EE">
        <w:t>evalueringssamtale med alle elever og i studieretningsforløbet</w:t>
      </w:r>
      <w:r w:rsidR="001B4FFF" w:rsidRPr="00A308EE">
        <w:t xml:space="preserve">, hvor der </w:t>
      </w:r>
      <w:r w:rsidRPr="00A308EE">
        <w:t xml:space="preserve">holdes konsultationer mellem faglærer og elev. </w:t>
      </w:r>
    </w:p>
    <w:p w:rsidR="004A6799" w:rsidRPr="00A308EE" w:rsidRDefault="005F2E00" w:rsidP="00A308EE">
      <w:pPr>
        <w:pStyle w:val="bodytext"/>
        <w:shd w:val="clear" w:color="auto" w:fill="FFFFFF"/>
        <w:spacing w:before="0" w:beforeAutospacing="0" w:line="276" w:lineRule="auto"/>
      </w:pPr>
      <w:r w:rsidRPr="00A308EE">
        <w:rPr>
          <w:rFonts w:eastAsiaTheme="minorHAnsi"/>
          <w:lang w:eastAsia="en-US"/>
        </w:rPr>
        <w:t xml:space="preserve">Tre gange om året </w:t>
      </w:r>
      <w:r w:rsidRPr="00A308EE">
        <w:t>evaluerer klassens lærere den enkelte elevs samlede standpunkt</w:t>
      </w:r>
      <w:r w:rsidR="001B4FFF" w:rsidRPr="00A308EE">
        <w:t>. Der gives standpunktskarakterer i hhv. november og marts og årskarakterer ved skoleåret afslutning. Der gives ikke standpunktskarakterer i efterårssemestret i 1g.</w:t>
      </w:r>
      <w:r w:rsidR="004A6799" w:rsidRPr="00A308EE">
        <w:t xml:space="preserve"> Ved afslutningen af grundforløbet skal eleverne til en intern prøve i</w:t>
      </w:r>
      <w:r w:rsidR="00953C24">
        <w:t xml:space="preserve"> hhv. i almen sprogforståelse</w:t>
      </w:r>
      <w:r w:rsidR="004A6799" w:rsidRPr="00A308EE">
        <w:t xml:space="preserve"> og naturvidenskabelige grundforløb, hvor der gives karakter. Denne karakter er medtællende i det samlede gennemsnit.</w:t>
      </w:r>
    </w:p>
    <w:p w:rsidR="004A6799" w:rsidRPr="00A308EE" w:rsidRDefault="004A6799" w:rsidP="00A308EE">
      <w:pPr>
        <w:pStyle w:val="bodytext"/>
        <w:shd w:val="clear" w:color="auto" w:fill="FFFFFF"/>
        <w:spacing w:before="0" w:beforeAutospacing="0" w:line="276" w:lineRule="auto"/>
      </w:pPr>
      <w:r w:rsidRPr="00A308EE">
        <w:t>Der afholdes termins- og årsprøver i et omfang specifice</w:t>
      </w:r>
      <w:r w:rsidR="00A308EE" w:rsidRPr="00A308EE">
        <w:t>ret på skolens hjemmeside.</w:t>
      </w:r>
    </w:p>
    <w:p w:rsidR="00012843" w:rsidRPr="00A308EE" w:rsidRDefault="00012843" w:rsidP="00A308EE">
      <w:pPr>
        <w:spacing w:line="276" w:lineRule="auto"/>
        <w:rPr>
          <w:rFonts w:ascii="Times New Roman" w:hAnsi="Times New Roman" w:cs="Times New Roman"/>
          <w:sz w:val="24"/>
          <w:szCs w:val="24"/>
        </w:rPr>
      </w:pPr>
      <w:r w:rsidRPr="00A308EE">
        <w:rPr>
          <w:rFonts w:ascii="Times New Roman" w:hAnsi="Times New Roman" w:cs="Times New Roman"/>
          <w:sz w:val="24"/>
          <w:szCs w:val="24"/>
        </w:rPr>
        <w:t xml:space="preserve">Arbejdet med </w:t>
      </w:r>
      <w:r w:rsidR="00A15C44" w:rsidRPr="00A308EE">
        <w:rPr>
          <w:rFonts w:ascii="Times New Roman" w:hAnsi="Times New Roman" w:cs="Times New Roman"/>
          <w:sz w:val="24"/>
          <w:szCs w:val="24"/>
        </w:rPr>
        <w:t xml:space="preserve">elevernes </w:t>
      </w:r>
      <w:r w:rsidRPr="00A308EE">
        <w:rPr>
          <w:rFonts w:ascii="Times New Roman" w:hAnsi="Times New Roman" w:cs="Times New Roman"/>
          <w:sz w:val="24"/>
          <w:szCs w:val="24"/>
        </w:rPr>
        <w:t>eksamensresultater</w:t>
      </w:r>
      <w:r w:rsidR="00A15C44" w:rsidRPr="00A308EE">
        <w:rPr>
          <w:rFonts w:ascii="Times New Roman" w:hAnsi="Times New Roman" w:cs="Times New Roman"/>
          <w:sz w:val="24"/>
          <w:szCs w:val="24"/>
        </w:rPr>
        <w:t xml:space="preserve"> </w:t>
      </w:r>
      <w:r w:rsidR="00953C24">
        <w:rPr>
          <w:rFonts w:ascii="Times New Roman" w:hAnsi="Times New Roman" w:cs="Times New Roman"/>
          <w:sz w:val="24"/>
          <w:szCs w:val="24"/>
        </w:rPr>
        <w:t xml:space="preserve">og fagets løfteevne </w:t>
      </w:r>
      <w:r w:rsidR="00A15C44" w:rsidRPr="00A308EE">
        <w:rPr>
          <w:rFonts w:ascii="Times New Roman" w:hAnsi="Times New Roman" w:cs="Times New Roman"/>
          <w:sz w:val="24"/>
          <w:szCs w:val="24"/>
        </w:rPr>
        <w:t xml:space="preserve">indgår i FUS. </w:t>
      </w:r>
    </w:p>
    <w:p w:rsidR="00E8030A" w:rsidRPr="00A308EE" w:rsidRDefault="00E8030A" w:rsidP="00A308EE">
      <w:pPr>
        <w:spacing w:line="276" w:lineRule="auto"/>
        <w:rPr>
          <w:rFonts w:ascii="Times New Roman" w:hAnsi="Times New Roman" w:cs="Times New Roman"/>
          <w:b/>
          <w:sz w:val="24"/>
          <w:szCs w:val="24"/>
        </w:rPr>
      </w:pPr>
      <w:r w:rsidRPr="00A308EE">
        <w:rPr>
          <w:rFonts w:ascii="Times New Roman" w:hAnsi="Times New Roman" w:cs="Times New Roman"/>
          <w:b/>
          <w:sz w:val="24"/>
          <w:szCs w:val="24"/>
        </w:rPr>
        <w:t>Kvalitetsmål 19-20:</w:t>
      </w:r>
    </w:p>
    <w:p w:rsidR="00E8030A" w:rsidRDefault="00E8030A" w:rsidP="00A308EE">
      <w:pPr>
        <w:pStyle w:val="Listeafsnit"/>
        <w:numPr>
          <w:ilvl w:val="0"/>
          <w:numId w:val="12"/>
        </w:numPr>
        <w:spacing w:after="0" w:line="276" w:lineRule="auto"/>
        <w:rPr>
          <w:rFonts w:ascii="Times New Roman" w:hAnsi="Times New Roman" w:cs="Times New Roman"/>
          <w:sz w:val="24"/>
          <w:szCs w:val="24"/>
        </w:rPr>
      </w:pPr>
      <w:r w:rsidRPr="009E12F5">
        <w:rPr>
          <w:rFonts w:ascii="Times New Roman" w:hAnsi="Times New Roman" w:cs="Times New Roman"/>
          <w:sz w:val="24"/>
          <w:szCs w:val="24"/>
        </w:rPr>
        <w:t xml:space="preserve">Eksamensresultater: Skolens mål er, at karaktergennemsnittet fastholdes eller øges i forhold til skolens gennemsnit i den sidste 5-årige periode. Karaktergennemsnittet sættes samtidig i relation til udviklingen i landsgennemsnit, regionsgennemsnit og gennemsnittet for Århus-gymnasierne. </w:t>
      </w:r>
    </w:p>
    <w:p w:rsidR="00587BAD" w:rsidRPr="00372BEC" w:rsidRDefault="00587BAD" w:rsidP="00587BAD">
      <w:pPr>
        <w:spacing w:before="240"/>
        <w:rPr>
          <w:rFonts w:ascii="Times New Roman" w:hAnsi="Times New Roman" w:cs="Times New Roman"/>
          <w:i/>
          <w:sz w:val="24"/>
          <w:szCs w:val="24"/>
        </w:rPr>
      </w:pPr>
      <w:r w:rsidRPr="00372BEC">
        <w:rPr>
          <w:rFonts w:ascii="Times New Roman" w:hAnsi="Times New Roman" w:cs="Times New Roman"/>
          <w:i/>
          <w:sz w:val="24"/>
          <w:szCs w:val="24"/>
        </w:rPr>
        <w:t xml:space="preserve">Eksamensresultat: </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
        <w:gridCol w:w="696"/>
        <w:gridCol w:w="696"/>
        <w:gridCol w:w="696"/>
        <w:gridCol w:w="603"/>
        <w:gridCol w:w="696"/>
        <w:gridCol w:w="883"/>
        <w:gridCol w:w="1070"/>
        <w:gridCol w:w="1030"/>
      </w:tblGrid>
      <w:tr w:rsidR="00587BAD" w:rsidRPr="00372BEC" w:rsidTr="004502B2">
        <w:tc>
          <w:tcPr>
            <w:tcW w:w="693" w:type="dxa"/>
            <w:shd w:val="clear" w:color="auto" w:fill="FFC000"/>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2014</w:t>
            </w:r>
          </w:p>
        </w:tc>
        <w:tc>
          <w:tcPr>
            <w:tcW w:w="693" w:type="dxa"/>
            <w:shd w:val="clear" w:color="auto" w:fill="FFC000"/>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2015</w:t>
            </w:r>
          </w:p>
        </w:tc>
        <w:tc>
          <w:tcPr>
            <w:tcW w:w="693" w:type="dxa"/>
            <w:shd w:val="clear" w:color="auto" w:fill="FFC000"/>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2016</w:t>
            </w:r>
          </w:p>
        </w:tc>
        <w:tc>
          <w:tcPr>
            <w:tcW w:w="694" w:type="dxa"/>
            <w:shd w:val="clear" w:color="auto" w:fill="FFC000"/>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2017</w:t>
            </w:r>
          </w:p>
        </w:tc>
        <w:tc>
          <w:tcPr>
            <w:tcW w:w="694" w:type="dxa"/>
            <w:shd w:val="clear" w:color="auto" w:fill="FFC000"/>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2018</w:t>
            </w:r>
          </w:p>
        </w:tc>
        <w:tc>
          <w:tcPr>
            <w:tcW w:w="601" w:type="dxa"/>
            <w:shd w:val="clear" w:color="auto" w:fill="FFC000"/>
          </w:tcPr>
          <w:p w:rsidR="00587BAD" w:rsidRPr="00372BEC" w:rsidRDefault="00587BAD" w:rsidP="00844F29">
            <w:pPr>
              <w:spacing w:before="240"/>
              <w:rPr>
                <w:rFonts w:ascii="Times New Roman" w:hAnsi="Times New Roman" w:cs="Times New Roman"/>
                <w:i/>
                <w:sz w:val="24"/>
                <w:szCs w:val="24"/>
              </w:rPr>
            </w:pPr>
            <w:proofErr w:type="spellStart"/>
            <w:r w:rsidRPr="00372BEC">
              <w:rPr>
                <w:rFonts w:ascii="Times New Roman" w:hAnsi="Times New Roman" w:cs="Times New Roman"/>
                <w:i/>
                <w:sz w:val="24"/>
                <w:szCs w:val="24"/>
              </w:rPr>
              <w:t>Gns</w:t>
            </w:r>
            <w:proofErr w:type="spellEnd"/>
            <w:r w:rsidRPr="00372BEC">
              <w:rPr>
                <w:rFonts w:ascii="Times New Roman" w:hAnsi="Times New Roman" w:cs="Times New Roman"/>
                <w:i/>
                <w:sz w:val="24"/>
                <w:szCs w:val="24"/>
              </w:rPr>
              <w:t xml:space="preserve"> 14-18</w:t>
            </w:r>
          </w:p>
        </w:tc>
        <w:tc>
          <w:tcPr>
            <w:tcW w:w="694" w:type="dxa"/>
            <w:shd w:val="clear" w:color="auto" w:fill="FFC000"/>
          </w:tcPr>
          <w:p w:rsidR="00587BAD" w:rsidRPr="00372BEC" w:rsidRDefault="00587BAD" w:rsidP="00844F29">
            <w:pPr>
              <w:spacing w:before="240"/>
              <w:rPr>
                <w:rFonts w:ascii="Times New Roman" w:hAnsi="Times New Roman" w:cs="Times New Roman"/>
                <w:b/>
                <w:i/>
                <w:sz w:val="24"/>
                <w:szCs w:val="24"/>
              </w:rPr>
            </w:pPr>
            <w:r w:rsidRPr="00372BEC">
              <w:rPr>
                <w:rFonts w:ascii="Times New Roman" w:hAnsi="Times New Roman" w:cs="Times New Roman"/>
                <w:b/>
                <w:i/>
                <w:sz w:val="24"/>
                <w:szCs w:val="24"/>
              </w:rPr>
              <w:t>2019</w:t>
            </w:r>
          </w:p>
        </w:tc>
        <w:tc>
          <w:tcPr>
            <w:tcW w:w="880" w:type="dxa"/>
            <w:shd w:val="clear" w:color="auto" w:fill="FFC000"/>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Lands-</w:t>
            </w:r>
            <w:proofErr w:type="spellStart"/>
            <w:r w:rsidRPr="00372BEC">
              <w:rPr>
                <w:rFonts w:ascii="Times New Roman" w:hAnsi="Times New Roman" w:cs="Times New Roman"/>
                <w:i/>
                <w:sz w:val="24"/>
                <w:szCs w:val="24"/>
              </w:rPr>
              <w:t>gns</w:t>
            </w:r>
            <w:proofErr w:type="spellEnd"/>
            <w:r w:rsidRPr="00372BEC">
              <w:rPr>
                <w:rFonts w:ascii="Times New Roman" w:hAnsi="Times New Roman" w:cs="Times New Roman"/>
                <w:i/>
                <w:sz w:val="24"/>
                <w:szCs w:val="24"/>
              </w:rPr>
              <w:t xml:space="preserve"> </w:t>
            </w:r>
          </w:p>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2019</w:t>
            </w:r>
          </w:p>
        </w:tc>
        <w:tc>
          <w:tcPr>
            <w:tcW w:w="1066" w:type="dxa"/>
            <w:shd w:val="clear" w:color="auto" w:fill="FFC000"/>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Regions-</w:t>
            </w:r>
            <w:proofErr w:type="spellStart"/>
            <w:r w:rsidRPr="00372BEC">
              <w:rPr>
                <w:rFonts w:ascii="Times New Roman" w:hAnsi="Times New Roman" w:cs="Times New Roman"/>
                <w:i/>
                <w:sz w:val="24"/>
                <w:szCs w:val="24"/>
              </w:rPr>
              <w:t>gns</w:t>
            </w:r>
            <w:proofErr w:type="spellEnd"/>
            <w:r w:rsidRPr="00372BEC">
              <w:rPr>
                <w:rFonts w:ascii="Times New Roman" w:hAnsi="Times New Roman" w:cs="Times New Roman"/>
                <w:i/>
                <w:sz w:val="24"/>
                <w:szCs w:val="24"/>
              </w:rPr>
              <w:t xml:space="preserve"> </w:t>
            </w:r>
          </w:p>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2019</w:t>
            </w:r>
          </w:p>
        </w:tc>
        <w:tc>
          <w:tcPr>
            <w:tcW w:w="1026" w:type="dxa"/>
            <w:shd w:val="clear" w:color="auto" w:fill="FFC000"/>
          </w:tcPr>
          <w:p w:rsidR="00587BAD" w:rsidRPr="00372BEC" w:rsidRDefault="00587BAD" w:rsidP="00844F29">
            <w:pPr>
              <w:spacing w:before="240"/>
              <w:rPr>
                <w:rFonts w:ascii="Times New Roman" w:hAnsi="Times New Roman" w:cs="Times New Roman"/>
                <w:i/>
                <w:sz w:val="24"/>
                <w:szCs w:val="24"/>
              </w:rPr>
            </w:pPr>
            <w:proofErr w:type="spellStart"/>
            <w:r w:rsidRPr="00372BEC">
              <w:rPr>
                <w:rFonts w:ascii="Times New Roman" w:hAnsi="Times New Roman" w:cs="Times New Roman"/>
                <w:i/>
                <w:sz w:val="24"/>
                <w:szCs w:val="24"/>
              </w:rPr>
              <w:t>Gns</w:t>
            </w:r>
            <w:proofErr w:type="spellEnd"/>
            <w:r w:rsidRPr="00372BEC">
              <w:rPr>
                <w:rFonts w:ascii="Times New Roman" w:hAnsi="Times New Roman" w:cs="Times New Roman"/>
                <w:i/>
                <w:sz w:val="24"/>
                <w:szCs w:val="24"/>
              </w:rPr>
              <w:t>. Århus- skolerne 2019</w:t>
            </w:r>
          </w:p>
        </w:tc>
      </w:tr>
      <w:tr w:rsidR="00587BAD" w:rsidRPr="00372BEC" w:rsidTr="00844F29">
        <w:tc>
          <w:tcPr>
            <w:tcW w:w="693" w:type="dxa"/>
            <w:shd w:val="clear" w:color="auto" w:fill="auto"/>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8,1</w:t>
            </w:r>
          </w:p>
        </w:tc>
        <w:tc>
          <w:tcPr>
            <w:tcW w:w="693" w:type="dxa"/>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8,0</w:t>
            </w:r>
          </w:p>
        </w:tc>
        <w:tc>
          <w:tcPr>
            <w:tcW w:w="693" w:type="dxa"/>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8,3</w:t>
            </w:r>
          </w:p>
        </w:tc>
        <w:tc>
          <w:tcPr>
            <w:tcW w:w="694" w:type="dxa"/>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8,6</w:t>
            </w:r>
          </w:p>
        </w:tc>
        <w:tc>
          <w:tcPr>
            <w:tcW w:w="694" w:type="dxa"/>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8,5</w:t>
            </w:r>
          </w:p>
        </w:tc>
        <w:tc>
          <w:tcPr>
            <w:tcW w:w="601" w:type="dxa"/>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8,3</w:t>
            </w:r>
          </w:p>
        </w:tc>
        <w:tc>
          <w:tcPr>
            <w:tcW w:w="694" w:type="dxa"/>
          </w:tcPr>
          <w:p w:rsidR="00587BAD" w:rsidRPr="00372BEC" w:rsidRDefault="00587BAD" w:rsidP="00844F29">
            <w:pPr>
              <w:spacing w:before="240"/>
              <w:rPr>
                <w:rFonts w:ascii="Times New Roman" w:hAnsi="Times New Roman" w:cs="Times New Roman"/>
                <w:b/>
                <w:i/>
                <w:sz w:val="24"/>
                <w:szCs w:val="24"/>
              </w:rPr>
            </w:pPr>
            <w:r w:rsidRPr="00372BEC">
              <w:rPr>
                <w:rFonts w:ascii="Times New Roman" w:hAnsi="Times New Roman" w:cs="Times New Roman"/>
                <w:b/>
                <w:i/>
                <w:sz w:val="24"/>
                <w:szCs w:val="24"/>
              </w:rPr>
              <w:t>8,4</w:t>
            </w:r>
          </w:p>
        </w:tc>
        <w:tc>
          <w:tcPr>
            <w:tcW w:w="880" w:type="dxa"/>
            <w:shd w:val="clear" w:color="auto" w:fill="auto"/>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7,4</w:t>
            </w:r>
          </w:p>
        </w:tc>
        <w:tc>
          <w:tcPr>
            <w:tcW w:w="1066" w:type="dxa"/>
            <w:shd w:val="clear" w:color="auto" w:fill="auto"/>
          </w:tcPr>
          <w:p w:rsidR="00587BAD" w:rsidRPr="00372BEC" w:rsidRDefault="004502B2" w:rsidP="00844F29">
            <w:pPr>
              <w:spacing w:before="240"/>
              <w:rPr>
                <w:rFonts w:ascii="Times New Roman" w:hAnsi="Times New Roman" w:cs="Times New Roman"/>
                <w:i/>
                <w:sz w:val="24"/>
                <w:szCs w:val="24"/>
              </w:rPr>
            </w:pPr>
            <w:r w:rsidRPr="004502B2">
              <w:rPr>
                <w:rFonts w:ascii="Times New Roman" w:hAnsi="Times New Roman" w:cs="Times New Roman"/>
                <w:i/>
                <w:sz w:val="24"/>
                <w:szCs w:val="24"/>
              </w:rPr>
              <w:t>7,4</w:t>
            </w:r>
          </w:p>
        </w:tc>
        <w:tc>
          <w:tcPr>
            <w:tcW w:w="1026" w:type="dxa"/>
            <w:shd w:val="clear" w:color="auto" w:fill="auto"/>
          </w:tcPr>
          <w:p w:rsidR="00587BAD" w:rsidRPr="00372BEC" w:rsidRDefault="00587BAD" w:rsidP="00844F29">
            <w:pPr>
              <w:spacing w:before="240"/>
              <w:rPr>
                <w:rFonts w:ascii="Times New Roman" w:hAnsi="Times New Roman" w:cs="Times New Roman"/>
                <w:i/>
                <w:sz w:val="24"/>
                <w:szCs w:val="24"/>
              </w:rPr>
            </w:pPr>
            <w:r w:rsidRPr="00372BEC">
              <w:rPr>
                <w:rFonts w:ascii="Times New Roman" w:hAnsi="Times New Roman" w:cs="Times New Roman"/>
                <w:i/>
                <w:sz w:val="24"/>
                <w:szCs w:val="24"/>
              </w:rPr>
              <w:t>7,6</w:t>
            </w:r>
          </w:p>
        </w:tc>
      </w:tr>
    </w:tbl>
    <w:p w:rsidR="00587BAD" w:rsidRPr="00372BEC" w:rsidRDefault="00587BAD" w:rsidP="00587BAD">
      <w:pPr>
        <w:pStyle w:val="Listeafsnit"/>
        <w:spacing w:before="240"/>
        <w:rPr>
          <w:rFonts w:ascii="Times New Roman" w:hAnsi="Times New Roman" w:cs="Times New Roman"/>
          <w:i/>
          <w:sz w:val="24"/>
          <w:szCs w:val="24"/>
        </w:rPr>
      </w:pPr>
      <w:r w:rsidRPr="00372BEC">
        <w:rPr>
          <w:rFonts w:ascii="Times New Roman" w:hAnsi="Times New Roman" w:cs="Times New Roman"/>
          <w:i/>
          <w:sz w:val="24"/>
          <w:szCs w:val="24"/>
        </w:rPr>
        <w:t xml:space="preserve">Skolens resultat på 8,4 var en delt 4. plads på landsplan sammen med Marie Kruses Skole 8,4, Egå </w:t>
      </w:r>
      <w:proofErr w:type="spellStart"/>
      <w:r w:rsidRPr="00372BEC">
        <w:rPr>
          <w:rFonts w:ascii="Times New Roman" w:hAnsi="Times New Roman" w:cs="Times New Roman"/>
          <w:i/>
          <w:sz w:val="24"/>
          <w:szCs w:val="24"/>
        </w:rPr>
        <w:t>Gymnasiuem</w:t>
      </w:r>
      <w:proofErr w:type="spellEnd"/>
      <w:r w:rsidRPr="00372BEC">
        <w:rPr>
          <w:rFonts w:ascii="Times New Roman" w:hAnsi="Times New Roman" w:cs="Times New Roman"/>
          <w:i/>
          <w:sz w:val="24"/>
          <w:szCs w:val="24"/>
        </w:rPr>
        <w:t xml:space="preserve">, 8,5, </w:t>
      </w:r>
      <w:proofErr w:type="spellStart"/>
      <w:r w:rsidRPr="00372BEC">
        <w:rPr>
          <w:rFonts w:ascii="Times New Roman" w:hAnsi="Times New Roman" w:cs="Times New Roman"/>
          <w:i/>
          <w:sz w:val="24"/>
          <w:szCs w:val="24"/>
        </w:rPr>
        <w:t>Aurehøj</w:t>
      </w:r>
      <w:proofErr w:type="spellEnd"/>
      <w:r w:rsidRPr="00372BEC">
        <w:rPr>
          <w:rFonts w:ascii="Times New Roman" w:hAnsi="Times New Roman" w:cs="Times New Roman"/>
          <w:i/>
          <w:sz w:val="24"/>
          <w:szCs w:val="24"/>
        </w:rPr>
        <w:t xml:space="preserve"> Gymnasium 8,6, Rysensteen Gymnasium 8,9.</w:t>
      </w:r>
    </w:p>
    <w:p w:rsidR="00587BAD" w:rsidRDefault="004502B2" w:rsidP="00587BAD">
      <w:pPr>
        <w:spacing w:after="0" w:line="276" w:lineRule="auto"/>
        <w:rPr>
          <w:rFonts w:ascii="Times New Roman" w:hAnsi="Times New Roman" w:cs="Times New Roman"/>
          <w:i/>
          <w:sz w:val="24"/>
          <w:szCs w:val="24"/>
        </w:rPr>
      </w:pPr>
      <w:r w:rsidRPr="004502B2">
        <w:rPr>
          <w:rFonts w:ascii="Times New Roman" w:hAnsi="Times New Roman" w:cs="Times New Roman"/>
          <w:i/>
          <w:sz w:val="24"/>
          <w:szCs w:val="24"/>
        </w:rPr>
        <w:t>Kon</w:t>
      </w:r>
      <w:r>
        <w:rPr>
          <w:rFonts w:ascii="Times New Roman" w:hAnsi="Times New Roman" w:cs="Times New Roman"/>
          <w:i/>
          <w:sz w:val="24"/>
          <w:szCs w:val="24"/>
        </w:rPr>
        <w:t>k</w:t>
      </w:r>
      <w:r w:rsidRPr="004502B2">
        <w:rPr>
          <w:rFonts w:ascii="Times New Roman" w:hAnsi="Times New Roman" w:cs="Times New Roman"/>
          <w:i/>
          <w:sz w:val="24"/>
          <w:szCs w:val="24"/>
        </w:rPr>
        <w:t>lusion: Målet er opnået</w:t>
      </w:r>
      <w:r>
        <w:rPr>
          <w:rFonts w:ascii="Times New Roman" w:hAnsi="Times New Roman" w:cs="Times New Roman"/>
          <w:i/>
          <w:sz w:val="24"/>
          <w:szCs w:val="24"/>
        </w:rPr>
        <w:t>,</w:t>
      </w:r>
      <w:r w:rsidRPr="004502B2">
        <w:rPr>
          <w:rFonts w:ascii="Times New Roman" w:hAnsi="Times New Roman" w:cs="Times New Roman"/>
          <w:i/>
          <w:sz w:val="24"/>
          <w:szCs w:val="24"/>
        </w:rPr>
        <w:t xml:space="preserve"> idet skolens eksamensresultat 2019 ligger over gennemsnittet for de foregående 5 år</w:t>
      </w:r>
      <w:r>
        <w:rPr>
          <w:rFonts w:ascii="Times New Roman" w:hAnsi="Times New Roman" w:cs="Times New Roman"/>
          <w:i/>
          <w:sz w:val="24"/>
          <w:szCs w:val="24"/>
        </w:rPr>
        <w:t>.</w:t>
      </w:r>
    </w:p>
    <w:p w:rsidR="004502B2" w:rsidRDefault="004502B2" w:rsidP="00587BAD">
      <w:pPr>
        <w:spacing w:after="0" w:line="276" w:lineRule="auto"/>
        <w:rPr>
          <w:rFonts w:ascii="Times New Roman" w:hAnsi="Times New Roman" w:cs="Times New Roman"/>
          <w:i/>
          <w:sz w:val="24"/>
          <w:szCs w:val="24"/>
        </w:rPr>
      </w:pPr>
    </w:p>
    <w:p w:rsidR="004502B2" w:rsidRPr="004502B2" w:rsidRDefault="004502B2" w:rsidP="00587BAD">
      <w:pPr>
        <w:spacing w:after="0" w:line="276" w:lineRule="auto"/>
        <w:rPr>
          <w:rFonts w:ascii="Times New Roman" w:hAnsi="Times New Roman" w:cs="Times New Roman"/>
          <w:i/>
          <w:sz w:val="24"/>
          <w:szCs w:val="24"/>
        </w:rPr>
      </w:pPr>
      <w:r>
        <w:rPr>
          <w:rFonts w:ascii="Times New Roman" w:hAnsi="Times New Roman" w:cs="Times New Roman"/>
          <w:i/>
          <w:sz w:val="24"/>
          <w:szCs w:val="24"/>
        </w:rPr>
        <w:t>Opfølgning: Der er ingen særlig opfølgning her, da målet er opnået.</w:t>
      </w:r>
    </w:p>
    <w:p w:rsidR="004502B2" w:rsidRPr="00587BAD" w:rsidRDefault="004502B2" w:rsidP="00587BAD">
      <w:pPr>
        <w:spacing w:after="0" w:line="276" w:lineRule="auto"/>
        <w:rPr>
          <w:rFonts w:ascii="Times New Roman" w:hAnsi="Times New Roman" w:cs="Times New Roman"/>
          <w:sz w:val="24"/>
          <w:szCs w:val="24"/>
        </w:rPr>
      </w:pPr>
    </w:p>
    <w:p w:rsidR="001B4FFF" w:rsidRPr="00156345" w:rsidRDefault="004A6799" w:rsidP="00A308EE">
      <w:pPr>
        <w:pStyle w:val="Listeafsnit"/>
        <w:numPr>
          <w:ilvl w:val="0"/>
          <w:numId w:val="12"/>
        </w:numPr>
        <w:spacing w:after="0" w:line="276" w:lineRule="auto"/>
        <w:rPr>
          <w:rFonts w:ascii="Times New Roman" w:hAnsi="Times New Roman" w:cs="Times New Roman"/>
          <w:sz w:val="24"/>
          <w:szCs w:val="24"/>
        </w:rPr>
      </w:pPr>
      <w:r w:rsidRPr="009E12F5">
        <w:rPr>
          <w:rFonts w:ascii="Times New Roman" w:hAnsi="Times New Roman" w:cs="Times New Roman"/>
          <w:sz w:val="24"/>
          <w:szCs w:val="24"/>
        </w:rPr>
        <w:t xml:space="preserve">Feedback: </w:t>
      </w:r>
      <w:r w:rsidR="001B4FFF" w:rsidRPr="009E12F5">
        <w:rPr>
          <w:rFonts w:ascii="Times New Roman" w:hAnsi="Times New Roman" w:cs="Times New Roman"/>
          <w:sz w:val="24"/>
          <w:szCs w:val="24"/>
        </w:rPr>
        <w:t xml:space="preserve">Skolens mål er, </w:t>
      </w:r>
      <w:r w:rsidR="001B4FFF" w:rsidRPr="00156345">
        <w:rPr>
          <w:rFonts w:ascii="Times New Roman" w:hAnsi="Times New Roman" w:cs="Times New Roman"/>
          <w:sz w:val="24"/>
          <w:szCs w:val="24"/>
        </w:rPr>
        <w:t>at ETU-</w:t>
      </w:r>
      <w:r w:rsidRPr="00156345">
        <w:rPr>
          <w:rFonts w:ascii="Times New Roman" w:hAnsi="Times New Roman" w:cs="Times New Roman"/>
          <w:sz w:val="24"/>
          <w:szCs w:val="24"/>
        </w:rPr>
        <w:t xml:space="preserve">scoren </w:t>
      </w:r>
      <w:r w:rsidR="001B4FFF" w:rsidRPr="00156345">
        <w:rPr>
          <w:rFonts w:ascii="Times New Roman" w:hAnsi="Times New Roman" w:cs="Times New Roman"/>
          <w:sz w:val="24"/>
          <w:szCs w:val="24"/>
        </w:rPr>
        <w:t xml:space="preserve">på spørgsmålet ”Jeg får tilbagemeldinger fra lærerne, som jeg kan bruge til at blive bedre i fagene” fastholdes eller øges i forhold til </w:t>
      </w:r>
      <w:r w:rsidRPr="00156345">
        <w:rPr>
          <w:rFonts w:ascii="Times New Roman" w:hAnsi="Times New Roman" w:cs="Times New Roman"/>
          <w:sz w:val="24"/>
          <w:szCs w:val="24"/>
        </w:rPr>
        <w:t xml:space="preserve">niveauet i seneste ETU (december </w:t>
      </w:r>
      <w:r w:rsidR="001B4FFF" w:rsidRPr="00156345">
        <w:rPr>
          <w:rFonts w:ascii="Times New Roman" w:hAnsi="Times New Roman" w:cs="Times New Roman"/>
          <w:sz w:val="24"/>
          <w:szCs w:val="24"/>
        </w:rPr>
        <w:t>2018</w:t>
      </w:r>
      <w:r w:rsidRPr="00156345">
        <w:rPr>
          <w:rFonts w:ascii="Times New Roman" w:hAnsi="Times New Roman" w:cs="Times New Roman"/>
          <w:sz w:val="24"/>
          <w:szCs w:val="24"/>
        </w:rPr>
        <w:t>)</w:t>
      </w:r>
      <w:r w:rsidR="001B4FFF" w:rsidRPr="00156345">
        <w:rPr>
          <w:rFonts w:ascii="Times New Roman" w:hAnsi="Times New Roman" w:cs="Times New Roman"/>
          <w:sz w:val="24"/>
          <w:szCs w:val="24"/>
        </w:rPr>
        <w:t xml:space="preserve">, som var over landsgennemsnittet </w:t>
      </w:r>
      <w:r w:rsidRPr="00156345">
        <w:rPr>
          <w:rFonts w:ascii="Times New Roman" w:hAnsi="Times New Roman" w:cs="Times New Roman"/>
          <w:sz w:val="24"/>
          <w:szCs w:val="24"/>
        </w:rPr>
        <w:t xml:space="preserve">for Stx-gymnasier. </w:t>
      </w:r>
      <w:r w:rsidR="001B4FFF" w:rsidRPr="00156345">
        <w:rPr>
          <w:rFonts w:ascii="Times New Roman" w:hAnsi="Times New Roman" w:cs="Times New Roman"/>
          <w:sz w:val="24"/>
          <w:szCs w:val="24"/>
        </w:rPr>
        <w:t xml:space="preserve"> </w:t>
      </w:r>
    </w:p>
    <w:p w:rsidR="004502B2" w:rsidRDefault="004502B2" w:rsidP="00A308EE">
      <w:pPr>
        <w:spacing w:line="276" w:lineRule="auto"/>
        <w:rPr>
          <w:rFonts w:ascii="Times New Roman" w:hAnsi="Times New Roman" w:cs="Times New Roman"/>
          <w:i/>
          <w:sz w:val="24"/>
          <w:szCs w:val="24"/>
        </w:rPr>
      </w:pPr>
    </w:p>
    <w:p w:rsidR="00156345" w:rsidRPr="00156345" w:rsidRDefault="00BF4BBE" w:rsidP="00A308E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Konklusion: </w:t>
      </w:r>
      <w:r w:rsidR="002026F9">
        <w:rPr>
          <w:rFonts w:ascii="Times New Roman" w:hAnsi="Times New Roman" w:cs="Times New Roman"/>
          <w:i/>
          <w:sz w:val="24"/>
          <w:szCs w:val="24"/>
        </w:rPr>
        <w:t>Da elevtrivselsundersøgelsen i år er gennemført af Børne- og undervisningsministeriet kan tallene ikke sammenlignes med tallene fra året før. Der er desværre heller ikke et landsgennemsnit for dette års undersøgelse.</w:t>
      </w:r>
    </w:p>
    <w:p w:rsidR="00484C90" w:rsidRPr="00BF4BBE" w:rsidRDefault="00484C90" w:rsidP="00484C90">
      <w:pPr>
        <w:spacing w:line="276" w:lineRule="auto"/>
        <w:rPr>
          <w:rFonts w:ascii="Times New Roman" w:hAnsi="Times New Roman" w:cs="Times New Roman"/>
          <w:i/>
          <w:sz w:val="24"/>
          <w:szCs w:val="24"/>
        </w:rPr>
      </w:pPr>
      <w:r w:rsidRPr="00BF4BBE">
        <w:rPr>
          <w:rFonts w:ascii="Times New Roman" w:hAnsi="Times New Roman" w:cs="Times New Roman"/>
          <w:i/>
          <w:sz w:val="24"/>
          <w:szCs w:val="24"/>
        </w:rPr>
        <w:t>Opfølgning:</w:t>
      </w:r>
      <w:r w:rsidR="00BF4BBE" w:rsidRPr="00BF4BBE">
        <w:rPr>
          <w:rFonts w:ascii="Times New Roman" w:hAnsi="Times New Roman" w:cs="Times New Roman"/>
          <w:i/>
          <w:sz w:val="24"/>
          <w:szCs w:val="24"/>
        </w:rPr>
        <w:t xml:space="preserve"> Det er forventningen, at næste års undersøgelse kan sammenlignes med resultaterne fra undersøgelsen i 2019.</w:t>
      </w:r>
    </w:p>
    <w:p w:rsidR="00B06020" w:rsidRPr="00A308EE" w:rsidRDefault="00B06020" w:rsidP="00A308EE">
      <w:pPr>
        <w:pStyle w:val="Listeafsnit"/>
        <w:spacing w:line="276" w:lineRule="auto"/>
        <w:rPr>
          <w:rFonts w:ascii="Times New Roman" w:hAnsi="Times New Roman" w:cs="Times New Roman"/>
          <w:sz w:val="24"/>
          <w:szCs w:val="24"/>
        </w:rPr>
      </w:pPr>
    </w:p>
    <w:p w:rsidR="00DA2BEC" w:rsidRPr="0036691F" w:rsidRDefault="00C55775"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Elevernes overgang</w:t>
      </w:r>
      <w:r w:rsidR="00DA2BEC" w:rsidRPr="0036691F">
        <w:rPr>
          <w:rFonts w:ascii="Times New Roman" w:hAnsi="Times New Roman" w:cs="Times New Roman"/>
          <w:b/>
          <w:sz w:val="28"/>
          <w:szCs w:val="28"/>
        </w:rPr>
        <w:t>sfrekvens til videregående uddannelse</w:t>
      </w:r>
    </w:p>
    <w:p w:rsidR="00C06673" w:rsidRPr="00A308EE" w:rsidRDefault="00564F0C" w:rsidP="00A308EE">
      <w:pPr>
        <w:spacing w:line="276" w:lineRule="auto"/>
        <w:rPr>
          <w:rFonts w:ascii="Times New Roman" w:eastAsia="Times New Roman" w:hAnsi="Times New Roman" w:cs="Times New Roman"/>
          <w:sz w:val="24"/>
          <w:szCs w:val="24"/>
          <w:lang w:eastAsia="da-DK"/>
        </w:rPr>
      </w:pPr>
      <w:r w:rsidRPr="00A308EE">
        <w:rPr>
          <w:rFonts w:ascii="Times New Roman" w:eastAsia="Times New Roman" w:hAnsi="Times New Roman" w:cs="Times New Roman"/>
          <w:sz w:val="24"/>
          <w:szCs w:val="24"/>
          <w:lang w:eastAsia="da-DK"/>
        </w:rPr>
        <w:t>I den løbende undervisning (herunder også gæstelærerbesøg, foredrag</w:t>
      </w:r>
      <w:r w:rsidR="004B7D03" w:rsidRPr="00A308EE">
        <w:rPr>
          <w:rFonts w:ascii="Times New Roman" w:eastAsia="Times New Roman" w:hAnsi="Times New Roman" w:cs="Times New Roman"/>
          <w:sz w:val="24"/>
          <w:szCs w:val="24"/>
          <w:lang w:eastAsia="da-DK"/>
        </w:rPr>
        <w:t>, ekskursioner m.v.</w:t>
      </w:r>
      <w:r w:rsidRPr="00A308EE">
        <w:rPr>
          <w:rFonts w:ascii="Times New Roman" w:eastAsia="Times New Roman" w:hAnsi="Times New Roman" w:cs="Times New Roman"/>
          <w:sz w:val="24"/>
          <w:szCs w:val="24"/>
          <w:lang w:eastAsia="da-DK"/>
        </w:rPr>
        <w:t xml:space="preserve">) </w:t>
      </w:r>
      <w:r w:rsidR="00C06673" w:rsidRPr="00A308EE">
        <w:rPr>
          <w:rFonts w:ascii="Times New Roman" w:eastAsia="Times New Roman" w:hAnsi="Times New Roman" w:cs="Times New Roman"/>
          <w:sz w:val="24"/>
          <w:szCs w:val="24"/>
          <w:lang w:eastAsia="da-DK"/>
        </w:rPr>
        <w:t>styrke</w:t>
      </w:r>
      <w:r w:rsidRPr="00A308EE">
        <w:rPr>
          <w:rFonts w:ascii="Times New Roman" w:eastAsia="Times New Roman" w:hAnsi="Times New Roman" w:cs="Times New Roman"/>
          <w:sz w:val="24"/>
          <w:szCs w:val="24"/>
          <w:lang w:eastAsia="da-DK"/>
        </w:rPr>
        <w:t xml:space="preserve">s </w:t>
      </w:r>
      <w:r w:rsidR="00C06673" w:rsidRPr="00A308EE">
        <w:rPr>
          <w:rFonts w:ascii="Times New Roman" w:eastAsia="Times New Roman" w:hAnsi="Times New Roman" w:cs="Times New Roman"/>
          <w:sz w:val="24"/>
          <w:szCs w:val="24"/>
          <w:lang w:eastAsia="da-DK"/>
        </w:rPr>
        <w:t xml:space="preserve">elevernes viden om og forståelse for fagenes rolle i videre uddannelse og erhverv. Endvidere </w:t>
      </w:r>
      <w:r w:rsidR="004B7D03" w:rsidRPr="00A308EE">
        <w:rPr>
          <w:rFonts w:ascii="Times New Roman" w:eastAsia="Times New Roman" w:hAnsi="Times New Roman" w:cs="Times New Roman"/>
          <w:sz w:val="24"/>
          <w:szCs w:val="24"/>
          <w:lang w:eastAsia="da-DK"/>
        </w:rPr>
        <w:t xml:space="preserve">arrangerer skolen </w:t>
      </w:r>
      <w:r w:rsidR="00C06673" w:rsidRPr="00A308EE">
        <w:rPr>
          <w:rFonts w:ascii="Times New Roman" w:eastAsia="Times New Roman" w:hAnsi="Times New Roman" w:cs="Times New Roman"/>
          <w:sz w:val="24"/>
          <w:szCs w:val="24"/>
          <w:lang w:eastAsia="da-DK"/>
        </w:rPr>
        <w:t xml:space="preserve">i løbet af det 3-årige forløb </w:t>
      </w:r>
      <w:r w:rsidRPr="00A308EE">
        <w:rPr>
          <w:rFonts w:ascii="Times New Roman" w:eastAsia="Times New Roman" w:hAnsi="Times New Roman" w:cs="Times New Roman"/>
          <w:sz w:val="24"/>
          <w:szCs w:val="24"/>
          <w:lang w:eastAsia="da-DK"/>
        </w:rPr>
        <w:t xml:space="preserve">en række aktiviteter, </w:t>
      </w:r>
      <w:r w:rsidR="00C06673" w:rsidRPr="00A308EE">
        <w:rPr>
          <w:rFonts w:ascii="Times New Roman" w:eastAsia="Times New Roman" w:hAnsi="Times New Roman" w:cs="Times New Roman"/>
          <w:sz w:val="24"/>
          <w:szCs w:val="24"/>
          <w:lang w:eastAsia="da-DK"/>
        </w:rPr>
        <w:t xml:space="preserve">hvor eleverne bliver orienteret om og arbejder med valg i forbindelse med uddannelse </w:t>
      </w:r>
      <w:r w:rsidRPr="00A308EE">
        <w:rPr>
          <w:rFonts w:ascii="Times New Roman" w:eastAsia="Times New Roman" w:hAnsi="Times New Roman" w:cs="Times New Roman"/>
          <w:sz w:val="24"/>
          <w:szCs w:val="24"/>
          <w:lang w:eastAsia="da-DK"/>
        </w:rPr>
        <w:t xml:space="preserve">og </w:t>
      </w:r>
      <w:r w:rsidR="00C06673" w:rsidRPr="00A308EE">
        <w:rPr>
          <w:rFonts w:ascii="Times New Roman" w:eastAsia="Times New Roman" w:hAnsi="Times New Roman" w:cs="Times New Roman"/>
          <w:sz w:val="24"/>
          <w:szCs w:val="24"/>
          <w:lang w:eastAsia="da-DK"/>
        </w:rPr>
        <w:t>fremtidig karriere</w:t>
      </w:r>
      <w:r w:rsidR="004B7D03" w:rsidRPr="00A308EE">
        <w:rPr>
          <w:rFonts w:ascii="Times New Roman" w:eastAsia="Times New Roman" w:hAnsi="Times New Roman" w:cs="Times New Roman"/>
          <w:sz w:val="24"/>
          <w:szCs w:val="24"/>
          <w:lang w:eastAsia="da-DK"/>
        </w:rPr>
        <w:t xml:space="preserve">. </w:t>
      </w:r>
      <w:r w:rsidR="00C06673" w:rsidRPr="00A308EE">
        <w:rPr>
          <w:rFonts w:ascii="Times New Roman" w:eastAsia="Times New Roman" w:hAnsi="Times New Roman" w:cs="Times New Roman"/>
          <w:sz w:val="24"/>
          <w:szCs w:val="24"/>
          <w:lang w:eastAsia="da-DK"/>
        </w:rPr>
        <w:t xml:space="preserve">Det sker i </w:t>
      </w:r>
      <w:r w:rsidRPr="00A308EE">
        <w:rPr>
          <w:rFonts w:ascii="Times New Roman" w:eastAsia="Times New Roman" w:hAnsi="Times New Roman" w:cs="Times New Roman"/>
          <w:sz w:val="24"/>
          <w:szCs w:val="24"/>
          <w:lang w:eastAsia="da-DK"/>
        </w:rPr>
        <w:t xml:space="preserve">bl.a. i </w:t>
      </w:r>
      <w:r w:rsidR="00C06673" w:rsidRPr="00A308EE">
        <w:rPr>
          <w:rFonts w:ascii="Times New Roman" w:eastAsia="Times New Roman" w:hAnsi="Times New Roman" w:cs="Times New Roman"/>
          <w:sz w:val="24"/>
          <w:szCs w:val="24"/>
          <w:lang w:eastAsia="da-DK"/>
        </w:rPr>
        <w:t>grundforløbet</w:t>
      </w:r>
      <w:r w:rsidRPr="00A308EE">
        <w:rPr>
          <w:rFonts w:ascii="Times New Roman" w:eastAsia="Times New Roman" w:hAnsi="Times New Roman" w:cs="Times New Roman"/>
          <w:sz w:val="24"/>
          <w:szCs w:val="24"/>
          <w:lang w:eastAsia="da-DK"/>
        </w:rPr>
        <w:t>s karrierelæringsblokke</w:t>
      </w:r>
      <w:r w:rsidR="00C06673" w:rsidRPr="00A308EE">
        <w:rPr>
          <w:rFonts w:ascii="Times New Roman" w:eastAsia="Times New Roman" w:hAnsi="Times New Roman" w:cs="Times New Roman"/>
          <w:sz w:val="24"/>
          <w:szCs w:val="24"/>
          <w:lang w:eastAsia="da-DK"/>
        </w:rPr>
        <w:t xml:space="preserve">, </w:t>
      </w:r>
      <w:r w:rsidRPr="00A308EE">
        <w:rPr>
          <w:rFonts w:ascii="Times New Roman" w:eastAsia="Times New Roman" w:hAnsi="Times New Roman" w:cs="Times New Roman"/>
          <w:sz w:val="24"/>
          <w:szCs w:val="24"/>
          <w:lang w:eastAsia="da-DK"/>
        </w:rPr>
        <w:t xml:space="preserve">ved besøg fra </w:t>
      </w:r>
      <w:r w:rsidR="00C06673" w:rsidRPr="00A308EE">
        <w:rPr>
          <w:rFonts w:ascii="Times New Roman" w:eastAsia="Times New Roman" w:hAnsi="Times New Roman" w:cs="Times New Roman"/>
          <w:sz w:val="24"/>
          <w:szCs w:val="24"/>
          <w:lang w:eastAsia="da-DK"/>
        </w:rPr>
        <w:t xml:space="preserve">Studievalg </w:t>
      </w:r>
      <w:r w:rsidRPr="00A308EE">
        <w:rPr>
          <w:rFonts w:ascii="Times New Roman" w:eastAsia="Times New Roman" w:hAnsi="Times New Roman" w:cs="Times New Roman"/>
          <w:sz w:val="24"/>
          <w:szCs w:val="24"/>
          <w:lang w:eastAsia="da-DK"/>
        </w:rPr>
        <w:t>Danmark og UU</w:t>
      </w:r>
      <w:r w:rsidR="004B7D03" w:rsidRPr="00A308EE">
        <w:rPr>
          <w:rFonts w:ascii="Times New Roman" w:eastAsia="Times New Roman" w:hAnsi="Times New Roman" w:cs="Times New Roman"/>
          <w:sz w:val="24"/>
          <w:szCs w:val="24"/>
          <w:lang w:eastAsia="da-DK"/>
        </w:rPr>
        <w:t xml:space="preserve"> samt </w:t>
      </w:r>
      <w:r w:rsidRPr="00A308EE">
        <w:rPr>
          <w:rFonts w:ascii="Times New Roman" w:eastAsia="Times New Roman" w:hAnsi="Times New Roman" w:cs="Times New Roman"/>
          <w:sz w:val="24"/>
          <w:szCs w:val="24"/>
          <w:lang w:eastAsia="da-DK"/>
        </w:rPr>
        <w:t xml:space="preserve">via deltagelse i </w:t>
      </w:r>
      <w:proofErr w:type="spellStart"/>
      <w:r w:rsidRPr="00A308EE">
        <w:rPr>
          <w:rFonts w:ascii="Times New Roman" w:eastAsia="Times New Roman" w:hAnsi="Times New Roman" w:cs="Times New Roman"/>
          <w:sz w:val="24"/>
          <w:szCs w:val="24"/>
          <w:lang w:eastAsia="da-DK"/>
        </w:rPr>
        <w:t>VIAs</w:t>
      </w:r>
      <w:proofErr w:type="spellEnd"/>
      <w:r w:rsidRPr="00A308EE">
        <w:rPr>
          <w:rFonts w:ascii="Times New Roman" w:eastAsia="Times New Roman" w:hAnsi="Times New Roman" w:cs="Times New Roman"/>
          <w:sz w:val="24"/>
          <w:szCs w:val="24"/>
          <w:lang w:eastAsia="da-DK"/>
        </w:rPr>
        <w:t xml:space="preserve"> </w:t>
      </w:r>
      <w:r w:rsidR="00953C24">
        <w:rPr>
          <w:rFonts w:ascii="Times New Roman" w:eastAsia="Times New Roman" w:hAnsi="Times New Roman" w:cs="Times New Roman"/>
          <w:sz w:val="24"/>
          <w:szCs w:val="24"/>
          <w:lang w:eastAsia="da-DK"/>
        </w:rPr>
        <w:t>studie</w:t>
      </w:r>
      <w:r w:rsidRPr="00A308EE">
        <w:rPr>
          <w:rFonts w:ascii="Times New Roman" w:eastAsia="Times New Roman" w:hAnsi="Times New Roman" w:cs="Times New Roman"/>
          <w:sz w:val="24"/>
          <w:szCs w:val="24"/>
          <w:lang w:eastAsia="da-DK"/>
        </w:rPr>
        <w:t>info-dag, universiteternes studiepraktik og U-</w:t>
      </w:r>
      <w:proofErr w:type="spellStart"/>
      <w:r w:rsidRPr="00A308EE">
        <w:rPr>
          <w:rFonts w:ascii="Times New Roman" w:eastAsia="Times New Roman" w:hAnsi="Times New Roman" w:cs="Times New Roman"/>
          <w:sz w:val="24"/>
          <w:szCs w:val="24"/>
          <w:lang w:eastAsia="da-DK"/>
        </w:rPr>
        <w:t>days</w:t>
      </w:r>
      <w:proofErr w:type="spellEnd"/>
      <w:r w:rsidRPr="00A308EE">
        <w:rPr>
          <w:rFonts w:ascii="Times New Roman" w:eastAsia="Times New Roman" w:hAnsi="Times New Roman" w:cs="Times New Roman"/>
          <w:sz w:val="24"/>
          <w:szCs w:val="24"/>
          <w:lang w:eastAsia="da-DK"/>
        </w:rPr>
        <w:t xml:space="preserve">. </w:t>
      </w:r>
    </w:p>
    <w:p w:rsidR="00012843" w:rsidRPr="00A308EE" w:rsidRDefault="000D1126" w:rsidP="00A308EE">
      <w:pPr>
        <w:spacing w:line="276" w:lineRule="auto"/>
        <w:rPr>
          <w:rFonts w:ascii="Times New Roman" w:hAnsi="Times New Roman" w:cs="Times New Roman"/>
          <w:sz w:val="24"/>
          <w:szCs w:val="24"/>
        </w:rPr>
      </w:pPr>
      <w:r w:rsidRPr="00A308EE">
        <w:rPr>
          <w:rFonts w:ascii="Times New Roman" w:hAnsi="Times New Roman" w:cs="Times New Roman"/>
          <w:sz w:val="24"/>
          <w:szCs w:val="24"/>
        </w:rPr>
        <w:t xml:space="preserve">Elevernes overgang til videregående uddannelser kan følges </w:t>
      </w:r>
      <w:r w:rsidR="00E8030A" w:rsidRPr="00A308EE">
        <w:rPr>
          <w:rFonts w:ascii="Times New Roman" w:hAnsi="Times New Roman" w:cs="Times New Roman"/>
          <w:sz w:val="24"/>
          <w:szCs w:val="24"/>
        </w:rPr>
        <w:t>hvert år dels via studenternes overgang til videregående uddannelse 27 måneder efter eksamen dels via tal fra Studievalg Østjylland, der viser hvilke uddannelser skolens studenter søger.</w:t>
      </w:r>
    </w:p>
    <w:p w:rsidR="00012843" w:rsidRPr="00A308EE" w:rsidRDefault="00012843" w:rsidP="00A308EE">
      <w:pPr>
        <w:spacing w:line="276" w:lineRule="auto"/>
        <w:rPr>
          <w:rFonts w:ascii="Times New Roman" w:hAnsi="Times New Roman" w:cs="Times New Roman"/>
          <w:b/>
          <w:sz w:val="24"/>
          <w:szCs w:val="24"/>
        </w:rPr>
      </w:pPr>
      <w:r w:rsidRPr="00A308EE">
        <w:rPr>
          <w:rFonts w:ascii="Times New Roman" w:hAnsi="Times New Roman" w:cs="Times New Roman"/>
          <w:b/>
          <w:sz w:val="24"/>
          <w:szCs w:val="24"/>
        </w:rPr>
        <w:t>Kvalitetsmål 19-20:</w:t>
      </w:r>
    </w:p>
    <w:p w:rsidR="00012843" w:rsidRPr="004502B2" w:rsidRDefault="009E12F5"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E8030A">
        <w:rPr>
          <w:rFonts w:ascii="Times New Roman" w:hAnsi="Times New Roman" w:cs="Times New Roman"/>
          <w:sz w:val="24"/>
          <w:szCs w:val="24"/>
        </w:rPr>
        <w:t>Det er målet</w:t>
      </w:r>
      <w:r w:rsidR="00CD487F">
        <w:rPr>
          <w:rFonts w:ascii="Times New Roman" w:hAnsi="Times New Roman" w:cs="Times New Roman"/>
          <w:sz w:val="24"/>
          <w:szCs w:val="24"/>
        </w:rPr>
        <w:t xml:space="preserve">, </w:t>
      </w:r>
      <w:r w:rsidR="00E8030A">
        <w:rPr>
          <w:rFonts w:ascii="Times New Roman" w:hAnsi="Times New Roman" w:cs="Times New Roman"/>
          <w:sz w:val="24"/>
          <w:szCs w:val="24"/>
        </w:rPr>
        <w:t xml:space="preserve">at </w:t>
      </w:r>
      <w:r w:rsidR="00E8030A" w:rsidRPr="004502B2">
        <w:rPr>
          <w:rFonts w:ascii="Times New Roman" w:hAnsi="Times New Roman" w:cs="Times New Roman"/>
          <w:sz w:val="24"/>
          <w:szCs w:val="24"/>
        </w:rPr>
        <w:t>gennemsnittet af antal studenter, der er påbegyndt en videregående uddannelse efter 27 måneder efter eksamen ligger ove</w:t>
      </w:r>
      <w:r w:rsidR="00CD487F" w:rsidRPr="004502B2">
        <w:rPr>
          <w:rFonts w:ascii="Times New Roman" w:hAnsi="Times New Roman" w:cs="Times New Roman"/>
          <w:sz w:val="24"/>
          <w:szCs w:val="24"/>
        </w:rPr>
        <w:t>r</w:t>
      </w:r>
      <w:r w:rsidR="00E8030A" w:rsidRPr="004502B2">
        <w:rPr>
          <w:rFonts w:ascii="Times New Roman" w:hAnsi="Times New Roman" w:cs="Times New Roman"/>
          <w:sz w:val="24"/>
          <w:szCs w:val="24"/>
        </w:rPr>
        <w:t xml:space="preserve"> landsgennemsnittet</w:t>
      </w:r>
      <w:r w:rsidR="00CD487F" w:rsidRPr="004502B2">
        <w:rPr>
          <w:rFonts w:ascii="Times New Roman" w:hAnsi="Times New Roman" w:cs="Times New Roman"/>
          <w:sz w:val="24"/>
          <w:szCs w:val="24"/>
        </w:rPr>
        <w:t xml:space="preserve">. </w:t>
      </w:r>
    </w:p>
    <w:p w:rsidR="00012843" w:rsidRDefault="004502B2" w:rsidP="00A308EE">
      <w:pPr>
        <w:spacing w:line="276" w:lineRule="auto"/>
        <w:rPr>
          <w:rFonts w:ascii="Times New Roman" w:hAnsi="Times New Roman" w:cs="Times New Roman"/>
          <w:sz w:val="24"/>
          <w:szCs w:val="24"/>
        </w:rPr>
      </w:pPr>
      <w:r w:rsidRPr="004502B2">
        <w:rPr>
          <w:rFonts w:ascii="Times New Roman" w:hAnsi="Times New Roman" w:cs="Times New Roman"/>
          <w:sz w:val="24"/>
          <w:szCs w:val="24"/>
        </w:rPr>
        <w:t>2.</w:t>
      </w:r>
      <w:r w:rsidR="00012843" w:rsidRPr="004502B2">
        <w:rPr>
          <w:rFonts w:ascii="Times New Roman" w:hAnsi="Times New Roman" w:cs="Times New Roman"/>
          <w:sz w:val="24"/>
          <w:szCs w:val="24"/>
        </w:rPr>
        <w:t xml:space="preserve"> </w:t>
      </w:r>
      <w:r w:rsidR="00E8030A" w:rsidRPr="004502B2">
        <w:rPr>
          <w:rFonts w:ascii="Times New Roman" w:hAnsi="Times New Roman" w:cs="Times New Roman"/>
          <w:sz w:val="24"/>
          <w:szCs w:val="24"/>
        </w:rPr>
        <w:t>Det er målet</w:t>
      </w:r>
      <w:r w:rsidR="00CD487F" w:rsidRPr="004502B2">
        <w:rPr>
          <w:rFonts w:ascii="Times New Roman" w:hAnsi="Times New Roman" w:cs="Times New Roman"/>
          <w:sz w:val="24"/>
          <w:szCs w:val="24"/>
        </w:rPr>
        <w:t xml:space="preserve">, </w:t>
      </w:r>
      <w:r w:rsidR="00E8030A" w:rsidRPr="004502B2">
        <w:rPr>
          <w:rFonts w:ascii="Times New Roman" w:hAnsi="Times New Roman" w:cs="Times New Roman"/>
          <w:sz w:val="24"/>
          <w:szCs w:val="24"/>
        </w:rPr>
        <w:t>at over 60% af de af skolens elever, der søger ind på en videregående uddannelse det pågældende år, søger en længerevarende videregående uddannelse.</w:t>
      </w:r>
    </w:p>
    <w:p w:rsidR="0055520D" w:rsidRDefault="004502B2" w:rsidP="0055520D">
      <w:pPr>
        <w:pStyle w:val="paragraph"/>
        <w:textAlignment w:val="baseline"/>
        <w:rPr>
          <w:rStyle w:val="eop"/>
        </w:rPr>
      </w:pPr>
      <w:r>
        <w:t>I nedenstående tabel er overgangsfrekvensen opgjort for både 27 måneder og 39 måneder (røde tal</w:t>
      </w:r>
      <w:r w:rsidR="0055520D">
        <w:t>)</w:t>
      </w:r>
      <w:r>
        <w:t xml:space="preserve"> efter eksamen. Tallene 39 måneder efter eksamen findes dog endnu ikke for årgang 2016.</w:t>
      </w:r>
      <w:r w:rsidR="0055520D">
        <w:t xml:space="preserve"> </w:t>
      </w:r>
      <w:r w:rsidR="0055520D">
        <w:rPr>
          <w:rStyle w:val="eop"/>
        </w:rPr>
        <w:t xml:space="preserve">De samlede tal summerer ikke op til 100% præcist. Dette skyldes muligvis nogle upræcise afrundinger i </w:t>
      </w:r>
      <w:proofErr w:type="spellStart"/>
      <w:r w:rsidR="0055520D">
        <w:rPr>
          <w:rStyle w:val="eop"/>
        </w:rPr>
        <w:t>UVMs</w:t>
      </w:r>
      <w:proofErr w:type="spellEnd"/>
      <w:r w:rsidR="0055520D">
        <w:rPr>
          <w:rStyle w:val="eop"/>
        </w:rPr>
        <w:t xml:space="preserve"> databaser.</w:t>
      </w:r>
    </w:p>
    <w:p w:rsidR="0055520D" w:rsidRDefault="0055520D" w:rsidP="0055520D">
      <w:pPr>
        <w:pStyle w:val="paragraph"/>
        <w:textAlignment w:val="baseline"/>
        <w:rPr>
          <w:rStyle w:val="eop"/>
        </w:rPr>
      </w:pPr>
    </w:p>
    <w:p w:rsidR="004502B2" w:rsidRDefault="004502B2" w:rsidP="004502B2">
      <w:pPr>
        <w:pStyle w:val="paragraph"/>
        <w:textAlignment w:val="baseline"/>
        <w:rPr>
          <w:rStyle w:val="eop"/>
        </w:rPr>
      </w:pPr>
    </w:p>
    <w:tbl>
      <w:tblPr>
        <w:tblStyle w:val="Tabel-Gitter"/>
        <w:tblW w:w="0" w:type="auto"/>
        <w:tblLook w:val="04A0" w:firstRow="1" w:lastRow="0" w:firstColumn="1" w:lastColumn="0" w:noHBand="0" w:noVBand="1"/>
      </w:tblPr>
      <w:tblGrid>
        <w:gridCol w:w="4814"/>
        <w:gridCol w:w="1604"/>
        <w:gridCol w:w="1605"/>
        <w:gridCol w:w="1605"/>
      </w:tblGrid>
      <w:tr w:rsidR="004502B2" w:rsidRPr="001C2F09" w:rsidTr="009D396C">
        <w:tc>
          <w:tcPr>
            <w:tcW w:w="9628" w:type="dxa"/>
            <w:gridSpan w:val="4"/>
            <w:shd w:val="clear" w:color="auto" w:fill="FFC000"/>
          </w:tcPr>
          <w:p w:rsidR="004502B2" w:rsidRPr="009E02BC" w:rsidRDefault="004502B2" w:rsidP="009D396C">
            <w:pPr>
              <w:pStyle w:val="paragraph"/>
              <w:jc w:val="center"/>
              <w:textAlignment w:val="baseline"/>
              <w:rPr>
                <w:rStyle w:val="eop"/>
                <w:b/>
                <w:sz w:val="28"/>
                <w:szCs w:val="28"/>
              </w:rPr>
            </w:pPr>
            <w:r w:rsidRPr="009E02BC">
              <w:rPr>
                <w:rStyle w:val="eop"/>
                <w:b/>
                <w:sz w:val="28"/>
                <w:szCs w:val="28"/>
              </w:rPr>
              <w:t>Overgangfrekvens til videregående uddannelse 27</w:t>
            </w:r>
            <w:r>
              <w:rPr>
                <w:rStyle w:val="eop"/>
                <w:b/>
                <w:sz w:val="28"/>
                <w:szCs w:val="28"/>
              </w:rPr>
              <w:t>/</w:t>
            </w:r>
            <w:r w:rsidRPr="00A31616">
              <w:rPr>
                <w:rStyle w:val="eop"/>
                <w:b/>
                <w:color w:val="FF0000"/>
                <w:sz w:val="28"/>
                <w:szCs w:val="28"/>
              </w:rPr>
              <w:t>39</w:t>
            </w:r>
            <w:r w:rsidRPr="009E02BC">
              <w:rPr>
                <w:rStyle w:val="eop"/>
                <w:b/>
                <w:sz w:val="28"/>
                <w:szCs w:val="28"/>
              </w:rPr>
              <w:t xml:space="preserve"> mdr. efter eksamen</w:t>
            </w:r>
          </w:p>
          <w:p w:rsidR="004502B2" w:rsidRPr="001C2F09" w:rsidRDefault="004502B2" w:rsidP="009D396C">
            <w:pPr>
              <w:pStyle w:val="paragraph"/>
              <w:jc w:val="center"/>
              <w:textAlignment w:val="baseline"/>
              <w:rPr>
                <w:rStyle w:val="eop"/>
              </w:rPr>
            </w:pPr>
            <w:r w:rsidRPr="009E02BC">
              <w:rPr>
                <w:rStyle w:val="eop"/>
                <w:b/>
                <w:sz w:val="28"/>
                <w:szCs w:val="28"/>
              </w:rPr>
              <w:t>- Dimittender 201</w:t>
            </w:r>
            <w:r>
              <w:rPr>
                <w:rStyle w:val="eop"/>
                <w:b/>
                <w:sz w:val="28"/>
                <w:szCs w:val="28"/>
              </w:rPr>
              <w:t>4, 2015 &amp; 2016</w:t>
            </w:r>
          </w:p>
        </w:tc>
      </w:tr>
      <w:tr w:rsidR="004502B2" w:rsidTr="004502B2">
        <w:tc>
          <w:tcPr>
            <w:tcW w:w="9628" w:type="dxa"/>
            <w:gridSpan w:val="4"/>
            <w:shd w:val="clear" w:color="auto" w:fill="A6A6A6" w:themeFill="background1" w:themeFillShade="A6"/>
          </w:tcPr>
          <w:p w:rsidR="004502B2" w:rsidRDefault="004502B2" w:rsidP="009D396C">
            <w:pPr>
              <w:pStyle w:val="paragraph"/>
              <w:jc w:val="center"/>
              <w:textAlignment w:val="baseline"/>
              <w:rPr>
                <w:rStyle w:val="eop"/>
              </w:rPr>
            </w:pPr>
            <w:r>
              <w:rPr>
                <w:rStyle w:val="eop"/>
              </w:rPr>
              <w:t>Nationale tal – stx</w:t>
            </w:r>
          </w:p>
        </w:tc>
      </w:tr>
      <w:tr w:rsidR="004502B2" w:rsidTr="004502B2">
        <w:tc>
          <w:tcPr>
            <w:tcW w:w="4814" w:type="dxa"/>
            <w:shd w:val="clear" w:color="auto" w:fill="A6A6A6" w:themeFill="background1" w:themeFillShade="A6"/>
          </w:tcPr>
          <w:p w:rsidR="004502B2" w:rsidRDefault="004502B2" w:rsidP="009D396C">
            <w:pPr>
              <w:pStyle w:val="paragraph"/>
              <w:jc w:val="center"/>
              <w:textAlignment w:val="baseline"/>
              <w:rPr>
                <w:rStyle w:val="eop"/>
              </w:rPr>
            </w:pPr>
          </w:p>
        </w:tc>
        <w:tc>
          <w:tcPr>
            <w:tcW w:w="1604" w:type="dxa"/>
            <w:shd w:val="clear" w:color="auto" w:fill="A6A6A6" w:themeFill="background1" w:themeFillShade="A6"/>
          </w:tcPr>
          <w:p w:rsidR="004502B2" w:rsidRDefault="004502B2" w:rsidP="009D396C">
            <w:pPr>
              <w:pStyle w:val="paragraph"/>
              <w:jc w:val="center"/>
              <w:textAlignment w:val="baseline"/>
              <w:rPr>
                <w:rStyle w:val="eop"/>
              </w:rPr>
            </w:pPr>
            <w:r>
              <w:rPr>
                <w:rStyle w:val="eop"/>
              </w:rPr>
              <w:t>2014</w:t>
            </w:r>
          </w:p>
        </w:tc>
        <w:tc>
          <w:tcPr>
            <w:tcW w:w="1605" w:type="dxa"/>
            <w:shd w:val="clear" w:color="auto" w:fill="A6A6A6" w:themeFill="background1" w:themeFillShade="A6"/>
          </w:tcPr>
          <w:p w:rsidR="004502B2" w:rsidRDefault="004502B2" w:rsidP="009D396C">
            <w:pPr>
              <w:pStyle w:val="paragraph"/>
              <w:jc w:val="center"/>
              <w:textAlignment w:val="baseline"/>
              <w:rPr>
                <w:rStyle w:val="eop"/>
              </w:rPr>
            </w:pPr>
            <w:r>
              <w:rPr>
                <w:rStyle w:val="eop"/>
              </w:rPr>
              <w:t>2015</w:t>
            </w:r>
          </w:p>
        </w:tc>
        <w:tc>
          <w:tcPr>
            <w:tcW w:w="1605" w:type="dxa"/>
            <w:shd w:val="clear" w:color="auto" w:fill="A6A6A6" w:themeFill="background1" w:themeFillShade="A6"/>
          </w:tcPr>
          <w:p w:rsidR="004502B2" w:rsidRDefault="004502B2" w:rsidP="009D396C">
            <w:pPr>
              <w:pStyle w:val="paragraph"/>
              <w:jc w:val="center"/>
              <w:textAlignment w:val="baseline"/>
              <w:rPr>
                <w:rStyle w:val="eop"/>
              </w:rPr>
            </w:pPr>
            <w:r>
              <w:rPr>
                <w:rStyle w:val="eop"/>
              </w:rPr>
              <w:t>2016</w:t>
            </w:r>
          </w:p>
        </w:tc>
      </w:tr>
      <w:tr w:rsidR="004502B2" w:rsidTr="009D396C">
        <w:tc>
          <w:tcPr>
            <w:tcW w:w="4814" w:type="dxa"/>
          </w:tcPr>
          <w:p w:rsidR="004502B2" w:rsidRDefault="004502B2" w:rsidP="009D396C">
            <w:pPr>
              <w:pStyle w:val="paragraph"/>
              <w:textAlignment w:val="baseline"/>
              <w:rPr>
                <w:rStyle w:val="eop"/>
              </w:rPr>
            </w:pPr>
            <w:r>
              <w:rPr>
                <w:rStyle w:val="eop"/>
              </w:rPr>
              <w:t xml:space="preserve">Erhvervsfaglige uddannelser: </w:t>
            </w:r>
          </w:p>
        </w:tc>
        <w:tc>
          <w:tcPr>
            <w:tcW w:w="1604" w:type="dxa"/>
          </w:tcPr>
          <w:p w:rsidR="004502B2" w:rsidRDefault="004502B2" w:rsidP="009D396C">
            <w:pPr>
              <w:pStyle w:val="paragraph"/>
              <w:textAlignment w:val="baseline"/>
              <w:rPr>
                <w:rStyle w:val="eop"/>
              </w:rPr>
            </w:pPr>
            <w:r>
              <w:rPr>
                <w:rStyle w:val="eop"/>
              </w:rPr>
              <w:t xml:space="preserve">6,1% </w:t>
            </w:r>
            <w:r w:rsidRPr="00A31616">
              <w:rPr>
                <w:rStyle w:val="eop"/>
                <w:color w:val="FF0000"/>
              </w:rPr>
              <w:t>(</w:t>
            </w:r>
            <w:r>
              <w:rPr>
                <w:rStyle w:val="eop"/>
                <w:color w:val="FF0000"/>
              </w:rPr>
              <w:t>7%</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 xml:space="preserve">5,5% </w:t>
            </w:r>
            <w:r w:rsidRPr="00A31616">
              <w:rPr>
                <w:rStyle w:val="eop"/>
                <w:color w:val="FF0000"/>
              </w:rPr>
              <w:t>(</w:t>
            </w:r>
            <w:r>
              <w:rPr>
                <w:rStyle w:val="eop"/>
                <w:color w:val="FF0000"/>
              </w:rPr>
              <w:t>6,4%</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4,9%</w:t>
            </w:r>
          </w:p>
        </w:tc>
      </w:tr>
      <w:tr w:rsidR="004502B2" w:rsidTr="009D396C">
        <w:tc>
          <w:tcPr>
            <w:tcW w:w="4814" w:type="dxa"/>
          </w:tcPr>
          <w:p w:rsidR="004502B2" w:rsidRDefault="004502B2" w:rsidP="009D396C">
            <w:pPr>
              <w:pStyle w:val="paragraph"/>
              <w:textAlignment w:val="baseline"/>
              <w:rPr>
                <w:rStyle w:val="eop"/>
              </w:rPr>
            </w:pPr>
            <w:r>
              <w:rPr>
                <w:rStyle w:val="eop"/>
              </w:rPr>
              <w:t xml:space="preserve">Korte videregående uddannelser: </w:t>
            </w:r>
          </w:p>
        </w:tc>
        <w:tc>
          <w:tcPr>
            <w:tcW w:w="1604" w:type="dxa"/>
          </w:tcPr>
          <w:p w:rsidR="004502B2" w:rsidRDefault="004502B2" w:rsidP="009D396C">
            <w:pPr>
              <w:pStyle w:val="paragraph"/>
              <w:textAlignment w:val="baseline"/>
              <w:rPr>
                <w:rStyle w:val="eop"/>
              </w:rPr>
            </w:pPr>
            <w:r>
              <w:rPr>
                <w:rStyle w:val="eop"/>
              </w:rPr>
              <w:t xml:space="preserve">5,6% </w:t>
            </w:r>
            <w:r w:rsidRPr="00A31616">
              <w:rPr>
                <w:rStyle w:val="eop"/>
                <w:color w:val="FF0000"/>
              </w:rPr>
              <w:t>(</w:t>
            </w:r>
            <w:r>
              <w:rPr>
                <w:rStyle w:val="eop"/>
                <w:color w:val="FF0000"/>
              </w:rPr>
              <w:t>6%</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 xml:space="preserve">5,5% </w:t>
            </w:r>
            <w:r w:rsidRPr="00A31616">
              <w:rPr>
                <w:rStyle w:val="eop"/>
                <w:color w:val="FF0000"/>
              </w:rPr>
              <w:t>(</w:t>
            </w:r>
            <w:r>
              <w:rPr>
                <w:rStyle w:val="eop"/>
                <w:color w:val="FF0000"/>
              </w:rPr>
              <w:t>6,2%</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5,3%</w:t>
            </w:r>
          </w:p>
        </w:tc>
      </w:tr>
      <w:tr w:rsidR="004502B2" w:rsidTr="009D396C">
        <w:tc>
          <w:tcPr>
            <w:tcW w:w="4814" w:type="dxa"/>
          </w:tcPr>
          <w:p w:rsidR="004502B2" w:rsidRDefault="004502B2" w:rsidP="009D396C">
            <w:pPr>
              <w:pStyle w:val="paragraph"/>
              <w:textAlignment w:val="baseline"/>
              <w:rPr>
                <w:rStyle w:val="eop"/>
              </w:rPr>
            </w:pPr>
            <w:r>
              <w:rPr>
                <w:rStyle w:val="eop"/>
              </w:rPr>
              <w:t xml:space="preserve">Mellemlange videregående uddannelser: </w:t>
            </w:r>
          </w:p>
        </w:tc>
        <w:tc>
          <w:tcPr>
            <w:tcW w:w="1604" w:type="dxa"/>
          </w:tcPr>
          <w:p w:rsidR="004502B2" w:rsidRDefault="004502B2" w:rsidP="009D396C">
            <w:pPr>
              <w:pStyle w:val="paragraph"/>
              <w:textAlignment w:val="baseline"/>
              <w:rPr>
                <w:rStyle w:val="eop"/>
              </w:rPr>
            </w:pPr>
            <w:r>
              <w:rPr>
                <w:rStyle w:val="eop"/>
              </w:rPr>
              <w:t xml:space="preserve">21,7% </w:t>
            </w:r>
            <w:r w:rsidRPr="00A31616">
              <w:rPr>
                <w:rStyle w:val="eop"/>
                <w:color w:val="FF0000"/>
              </w:rPr>
              <w:t>(</w:t>
            </w:r>
            <w:r>
              <w:rPr>
                <w:rStyle w:val="eop"/>
                <w:color w:val="FF0000"/>
              </w:rPr>
              <w:t>26,8%</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 xml:space="preserve">21,5% </w:t>
            </w:r>
            <w:r w:rsidRPr="00A31616">
              <w:rPr>
                <w:rStyle w:val="eop"/>
                <w:color w:val="FF0000"/>
              </w:rPr>
              <w:t>(</w:t>
            </w:r>
            <w:r>
              <w:rPr>
                <w:rStyle w:val="eop"/>
                <w:color w:val="FF0000"/>
              </w:rPr>
              <w:t>26,6%</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20,6%</w:t>
            </w:r>
          </w:p>
        </w:tc>
      </w:tr>
      <w:tr w:rsidR="004502B2" w:rsidTr="009D396C">
        <w:tc>
          <w:tcPr>
            <w:tcW w:w="4814" w:type="dxa"/>
          </w:tcPr>
          <w:p w:rsidR="004502B2" w:rsidRDefault="004502B2" w:rsidP="009D396C">
            <w:pPr>
              <w:pStyle w:val="paragraph"/>
              <w:textAlignment w:val="baseline"/>
              <w:rPr>
                <w:rStyle w:val="eop"/>
              </w:rPr>
            </w:pPr>
            <w:r>
              <w:rPr>
                <w:rStyle w:val="eop"/>
              </w:rPr>
              <w:t xml:space="preserve">Lange videregående uddannelser*: </w:t>
            </w:r>
          </w:p>
        </w:tc>
        <w:tc>
          <w:tcPr>
            <w:tcW w:w="1604" w:type="dxa"/>
          </w:tcPr>
          <w:p w:rsidR="004502B2" w:rsidRDefault="004502B2" w:rsidP="009D396C">
            <w:pPr>
              <w:pStyle w:val="paragraph"/>
              <w:textAlignment w:val="baseline"/>
              <w:rPr>
                <w:rStyle w:val="eop"/>
              </w:rPr>
            </w:pPr>
            <w:r>
              <w:rPr>
                <w:rStyle w:val="eop"/>
              </w:rPr>
              <w:t xml:space="preserve">45,3% </w:t>
            </w:r>
            <w:r w:rsidRPr="00A31616">
              <w:rPr>
                <w:rStyle w:val="eop"/>
                <w:color w:val="FF0000"/>
              </w:rPr>
              <w:t>(</w:t>
            </w:r>
            <w:r>
              <w:rPr>
                <w:rStyle w:val="eop"/>
                <w:color w:val="FF0000"/>
              </w:rPr>
              <w:t>46,3%</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 xml:space="preserve">44% </w:t>
            </w:r>
            <w:r w:rsidRPr="00A31616">
              <w:rPr>
                <w:rStyle w:val="eop"/>
                <w:color w:val="FF0000"/>
              </w:rPr>
              <w:t>(</w:t>
            </w:r>
            <w:r>
              <w:rPr>
                <w:rStyle w:val="eop"/>
                <w:color w:val="FF0000"/>
              </w:rPr>
              <w:t>45,7%</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44%</w:t>
            </w:r>
          </w:p>
        </w:tc>
      </w:tr>
      <w:tr w:rsidR="004502B2" w:rsidTr="009D396C">
        <w:tc>
          <w:tcPr>
            <w:tcW w:w="4814" w:type="dxa"/>
          </w:tcPr>
          <w:p w:rsidR="004502B2" w:rsidRDefault="004502B2" w:rsidP="009D396C">
            <w:pPr>
              <w:pStyle w:val="paragraph"/>
              <w:textAlignment w:val="baseline"/>
              <w:rPr>
                <w:rStyle w:val="eop"/>
              </w:rPr>
            </w:pPr>
            <w:r>
              <w:rPr>
                <w:rStyle w:val="eop"/>
              </w:rPr>
              <w:lastRenderedPageBreak/>
              <w:t xml:space="preserve">Uoplyst: </w:t>
            </w:r>
          </w:p>
        </w:tc>
        <w:tc>
          <w:tcPr>
            <w:tcW w:w="1604" w:type="dxa"/>
          </w:tcPr>
          <w:p w:rsidR="004502B2" w:rsidRDefault="004502B2" w:rsidP="009D396C">
            <w:pPr>
              <w:pStyle w:val="paragraph"/>
              <w:textAlignment w:val="baseline"/>
              <w:rPr>
                <w:rStyle w:val="eop"/>
              </w:rPr>
            </w:pPr>
            <w:r>
              <w:rPr>
                <w:rStyle w:val="eop"/>
              </w:rPr>
              <w:t xml:space="preserve">21,2% </w:t>
            </w:r>
            <w:r w:rsidRPr="00A31616">
              <w:rPr>
                <w:rStyle w:val="eop"/>
                <w:color w:val="FF0000"/>
              </w:rPr>
              <w:t>(</w:t>
            </w:r>
            <w:r>
              <w:rPr>
                <w:rStyle w:val="eop"/>
                <w:color w:val="FF0000"/>
              </w:rPr>
              <w:t>13,9%</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 xml:space="preserve">23,4% </w:t>
            </w:r>
            <w:r w:rsidRPr="00A31616">
              <w:rPr>
                <w:rStyle w:val="eop"/>
                <w:color w:val="FF0000"/>
              </w:rPr>
              <w:t>(</w:t>
            </w:r>
            <w:r>
              <w:rPr>
                <w:rStyle w:val="eop"/>
                <w:color w:val="FF0000"/>
              </w:rPr>
              <w:t>15%</w:t>
            </w:r>
            <w:r w:rsidRPr="00A31616">
              <w:rPr>
                <w:rStyle w:val="eop"/>
                <w:color w:val="FF0000"/>
              </w:rPr>
              <w:t>)</w:t>
            </w:r>
          </w:p>
        </w:tc>
        <w:tc>
          <w:tcPr>
            <w:tcW w:w="1605" w:type="dxa"/>
          </w:tcPr>
          <w:p w:rsidR="004502B2" w:rsidRDefault="004502B2" w:rsidP="009D396C">
            <w:pPr>
              <w:pStyle w:val="paragraph"/>
              <w:textAlignment w:val="baseline"/>
              <w:rPr>
                <w:rStyle w:val="eop"/>
              </w:rPr>
            </w:pPr>
            <w:r>
              <w:rPr>
                <w:rStyle w:val="eop"/>
              </w:rPr>
              <w:t>25,2%</w:t>
            </w:r>
          </w:p>
        </w:tc>
      </w:tr>
      <w:tr w:rsidR="004502B2" w:rsidTr="004502B2">
        <w:tc>
          <w:tcPr>
            <w:tcW w:w="4814" w:type="dxa"/>
            <w:shd w:val="clear" w:color="auto" w:fill="FFC000"/>
          </w:tcPr>
          <w:p w:rsidR="004502B2" w:rsidRDefault="004502B2" w:rsidP="009D396C">
            <w:pPr>
              <w:pStyle w:val="paragraph"/>
              <w:textAlignment w:val="baseline"/>
              <w:rPr>
                <w:rStyle w:val="eop"/>
              </w:rPr>
            </w:pPr>
            <w:r>
              <w:rPr>
                <w:rStyle w:val="eop"/>
              </w:rPr>
              <w:t xml:space="preserve">Samlet overgangsfrekvens: </w:t>
            </w:r>
          </w:p>
        </w:tc>
        <w:tc>
          <w:tcPr>
            <w:tcW w:w="1604" w:type="dxa"/>
            <w:shd w:val="clear" w:color="auto" w:fill="FFC000"/>
          </w:tcPr>
          <w:p w:rsidR="004502B2" w:rsidRDefault="004502B2" w:rsidP="009D396C">
            <w:pPr>
              <w:pStyle w:val="paragraph"/>
              <w:textAlignment w:val="baseline"/>
              <w:rPr>
                <w:rStyle w:val="eop"/>
              </w:rPr>
            </w:pPr>
            <w:r>
              <w:rPr>
                <w:rStyle w:val="eop"/>
              </w:rPr>
              <w:t xml:space="preserve">78,7 </w:t>
            </w:r>
            <w:r w:rsidRPr="00A31616">
              <w:rPr>
                <w:rStyle w:val="eop"/>
                <w:color w:val="FF0000"/>
              </w:rPr>
              <w:t>(</w:t>
            </w:r>
            <w:r>
              <w:rPr>
                <w:rStyle w:val="eop"/>
                <w:color w:val="FF0000"/>
              </w:rPr>
              <w:t>86,1%</w:t>
            </w:r>
            <w:r w:rsidRPr="00A31616">
              <w:rPr>
                <w:rStyle w:val="eop"/>
                <w:color w:val="FF0000"/>
              </w:rPr>
              <w:t>)</w:t>
            </w:r>
          </w:p>
        </w:tc>
        <w:tc>
          <w:tcPr>
            <w:tcW w:w="1605" w:type="dxa"/>
            <w:shd w:val="clear" w:color="auto" w:fill="FFC000"/>
          </w:tcPr>
          <w:p w:rsidR="004502B2" w:rsidRDefault="004502B2" w:rsidP="009D396C">
            <w:pPr>
              <w:pStyle w:val="paragraph"/>
              <w:textAlignment w:val="baseline"/>
              <w:rPr>
                <w:rStyle w:val="eop"/>
              </w:rPr>
            </w:pPr>
            <w:r>
              <w:rPr>
                <w:rStyle w:val="eop"/>
              </w:rPr>
              <w:t xml:space="preserve">76,5 </w:t>
            </w:r>
            <w:r w:rsidRPr="00A31616">
              <w:rPr>
                <w:rStyle w:val="eop"/>
                <w:color w:val="FF0000"/>
              </w:rPr>
              <w:t>(</w:t>
            </w:r>
            <w:r>
              <w:rPr>
                <w:rStyle w:val="eop"/>
                <w:color w:val="FF0000"/>
              </w:rPr>
              <w:t>84,9%</w:t>
            </w:r>
            <w:r w:rsidRPr="00A31616">
              <w:rPr>
                <w:rStyle w:val="eop"/>
                <w:color w:val="FF0000"/>
              </w:rPr>
              <w:t>)</w:t>
            </w:r>
          </w:p>
        </w:tc>
        <w:tc>
          <w:tcPr>
            <w:tcW w:w="1605" w:type="dxa"/>
            <w:shd w:val="clear" w:color="auto" w:fill="FFC000"/>
          </w:tcPr>
          <w:p w:rsidR="004502B2" w:rsidRDefault="004502B2" w:rsidP="009D396C">
            <w:pPr>
              <w:pStyle w:val="paragraph"/>
              <w:textAlignment w:val="baseline"/>
              <w:rPr>
                <w:rStyle w:val="eop"/>
              </w:rPr>
            </w:pPr>
            <w:r>
              <w:rPr>
                <w:rStyle w:val="eop"/>
              </w:rPr>
              <w:t>74,8%</w:t>
            </w:r>
          </w:p>
        </w:tc>
      </w:tr>
      <w:tr w:rsidR="004502B2" w:rsidTr="004502B2">
        <w:tc>
          <w:tcPr>
            <w:tcW w:w="4814" w:type="dxa"/>
            <w:shd w:val="clear" w:color="auto" w:fill="FFC000"/>
          </w:tcPr>
          <w:p w:rsidR="004502B2" w:rsidRDefault="004502B2" w:rsidP="009D396C">
            <w:pPr>
              <w:pStyle w:val="paragraph"/>
              <w:textAlignment w:val="baseline"/>
              <w:rPr>
                <w:rStyle w:val="eop"/>
              </w:rPr>
            </w:pPr>
            <w:r>
              <w:rPr>
                <w:rStyle w:val="eop"/>
              </w:rPr>
              <w:t>%-del, der søger lang videregående uddannelse</w:t>
            </w:r>
          </w:p>
        </w:tc>
        <w:tc>
          <w:tcPr>
            <w:tcW w:w="1604" w:type="dxa"/>
            <w:shd w:val="clear" w:color="auto" w:fill="FFC000"/>
          </w:tcPr>
          <w:p w:rsidR="004502B2" w:rsidRDefault="004502B2" w:rsidP="009D396C">
            <w:pPr>
              <w:pStyle w:val="paragraph"/>
              <w:textAlignment w:val="baseline"/>
              <w:rPr>
                <w:rStyle w:val="eop"/>
              </w:rPr>
            </w:pPr>
            <w:r>
              <w:rPr>
                <w:rStyle w:val="eop"/>
              </w:rPr>
              <w:t xml:space="preserve">58% </w:t>
            </w:r>
            <w:r w:rsidRPr="00A31616">
              <w:rPr>
                <w:rStyle w:val="eop"/>
                <w:color w:val="FF0000"/>
              </w:rPr>
              <w:t>(</w:t>
            </w:r>
            <w:r>
              <w:rPr>
                <w:rStyle w:val="eop"/>
                <w:color w:val="FF0000"/>
              </w:rPr>
              <w:t>54%</w:t>
            </w:r>
            <w:r w:rsidRPr="00A31616">
              <w:rPr>
                <w:rStyle w:val="eop"/>
                <w:color w:val="FF0000"/>
              </w:rPr>
              <w:t>)</w:t>
            </w:r>
          </w:p>
        </w:tc>
        <w:tc>
          <w:tcPr>
            <w:tcW w:w="1605" w:type="dxa"/>
            <w:shd w:val="clear" w:color="auto" w:fill="FFC000"/>
          </w:tcPr>
          <w:p w:rsidR="004502B2" w:rsidRDefault="004502B2" w:rsidP="009D396C">
            <w:pPr>
              <w:pStyle w:val="paragraph"/>
              <w:textAlignment w:val="baseline"/>
              <w:rPr>
                <w:rStyle w:val="eop"/>
              </w:rPr>
            </w:pPr>
            <w:r>
              <w:rPr>
                <w:rStyle w:val="eop"/>
              </w:rPr>
              <w:t xml:space="preserve">58% </w:t>
            </w:r>
            <w:r w:rsidRPr="00A31616">
              <w:rPr>
                <w:rStyle w:val="eop"/>
                <w:color w:val="FF0000"/>
              </w:rPr>
              <w:t>(</w:t>
            </w:r>
            <w:r>
              <w:rPr>
                <w:rStyle w:val="eop"/>
                <w:color w:val="FF0000"/>
              </w:rPr>
              <w:t>54%</w:t>
            </w:r>
            <w:r w:rsidRPr="00A31616">
              <w:rPr>
                <w:rStyle w:val="eop"/>
                <w:color w:val="FF0000"/>
              </w:rPr>
              <w:t>)</w:t>
            </w:r>
          </w:p>
        </w:tc>
        <w:tc>
          <w:tcPr>
            <w:tcW w:w="1605" w:type="dxa"/>
            <w:shd w:val="clear" w:color="auto" w:fill="FFC000"/>
          </w:tcPr>
          <w:p w:rsidR="004502B2" w:rsidRDefault="004502B2" w:rsidP="009D396C">
            <w:pPr>
              <w:pStyle w:val="paragraph"/>
              <w:textAlignment w:val="baseline"/>
              <w:rPr>
                <w:rStyle w:val="eop"/>
              </w:rPr>
            </w:pPr>
            <w:r>
              <w:rPr>
                <w:rStyle w:val="eop"/>
              </w:rPr>
              <w:t>59%</w:t>
            </w:r>
          </w:p>
        </w:tc>
      </w:tr>
      <w:tr w:rsidR="004502B2" w:rsidTr="004502B2">
        <w:tc>
          <w:tcPr>
            <w:tcW w:w="9628" w:type="dxa"/>
            <w:gridSpan w:val="4"/>
            <w:shd w:val="clear" w:color="auto" w:fill="A6A6A6" w:themeFill="background1" w:themeFillShade="A6"/>
          </w:tcPr>
          <w:p w:rsidR="004502B2" w:rsidRDefault="004502B2" w:rsidP="009D396C">
            <w:pPr>
              <w:pStyle w:val="paragraph"/>
              <w:jc w:val="center"/>
              <w:textAlignment w:val="baseline"/>
              <w:rPr>
                <w:rStyle w:val="eop"/>
              </w:rPr>
            </w:pPr>
            <w:r>
              <w:rPr>
                <w:rStyle w:val="eop"/>
              </w:rPr>
              <w:t>Aarhus Katedralskole</w:t>
            </w:r>
          </w:p>
        </w:tc>
      </w:tr>
      <w:tr w:rsidR="004502B2" w:rsidTr="004502B2">
        <w:tc>
          <w:tcPr>
            <w:tcW w:w="4814" w:type="dxa"/>
            <w:shd w:val="clear" w:color="auto" w:fill="A6A6A6" w:themeFill="background1" w:themeFillShade="A6"/>
          </w:tcPr>
          <w:p w:rsidR="004502B2" w:rsidRDefault="004502B2" w:rsidP="009D396C">
            <w:pPr>
              <w:pStyle w:val="paragraph"/>
              <w:jc w:val="center"/>
              <w:textAlignment w:val="baseline"/>
              <w:rPr>
                <w:rStyle w:val="eop"/>
              </w:rPr>
            </w:pPr>
          </w:p>
        </w:tc>
        <w:tc>
          <w:tcPr>
            <w:tcW w:w="1604" w:type="dxa"/>
            <w:shd w:val="clear" w:color="auto" w:fill="A6A6A6" w:themeFill="background1" w:themeFillShade="A6"/>
          </w:tcPr>
          <w:p w:rsidR="004502B2" w:rsidRDefault="004502B2" w:rsidP="009D396C">
            <w:pPr>
              <w:pStyle w:val="paragraph"/>
              <w:jc w:val="center"/>
              <w:textAlignment w:val="baseline"/>
              <w:rPr>
                <w:rStyle w:val="eop"/>
              </w:rPr>
            </w:pPr>
            <w:r>
              <w:rPr>
                <w:rStyle w:val="eop"/>
              </w:rPr>
              <w:t>2014</w:t>
            </w:r>
          </w:p>
        </w:tc>
        <w:tc>
          <w:tcPr>
            <w:tcW w:w="1605" w:type="dxa"/>
            <w:shd w:val="clear" w:color="auto" w:fill="A6A6A6" w:themeFill="background1" w:themeFillShade="A6"/>
          </w:tcPr>
          <w:p w:rsidR="004502B2" w:rsidRDefault="004502B2" w:rsidP="009D396C">
            <w:pPr>
              <w:pStyle w:val="paragraph"/>
              <w:jc w:val="center"/>
              <w:textAlignment w:val="baseline"/>
              <w:rPr>
                <w:rStyle w:val="eop"/>
              </w:rPr>
            </w:pPr>
            <w:r>
              <w:rPr>
                <w:rStyle w:val="eop"/>
              </w:rPr>
              <w:t>2015</w:t>
            </w:r>
          </w:p>
        </w:tc>
        <w:tc>
          <w:tcPr>
            <w:tcW w:w="1605" w:type="dxa"/>
            <w:shd w:val="clear" w:color="auto" w:fill="A6A6A6" w:themeFill="background1" w:themeFillShade="A6"/>
          </w:tcPr>
          <w:p w:rsidR="004502B2" w:rsidRDefault="004502B2" w:rsidP="009D396C">
            <w:pPr>
              <w:pStyle w:val="paragraph"/>
              <w:jc w:val="center"/>
              <w:textAlignment w:val="baseline"/>
              <w:rPr>
                <w:rStyle w:val="eop"/>
              </w:rPr>
            </w:pPr>
            <w:r>
              <w:rPr>
                <w:rStyle w:val="eop"/>
              </w:rPr>
              <w:t>2016</w:t>
            </w:r>
          </w:p>
        </w:tc>
      </w:tr>
      <w:tr w:rsidR="004502B2" w:rsidTr="009D396C">
        <w:tc>
          <w:tcPr>
            <w:tcW w:w="4814" w:type="dxa"/>
          </w:tcPr>
          <w:p w:rsidR="004502B2" w:rsidRDefault="004502B2" w:rsidP="009D396C">
            <w:pPr>
              <w:pStyle w:val="paragraph"/>
              <w:textAlignment w:val="baseline"/>
              <w:rPr>
                <w:rStyle w:val="eop"/>
              </w:rPr>
            </w:pPr>
            <w:r>
              <w:rPr>
                <w:rStyle w:val="eop"/>
              </w:rPr>
              <w:t xml:space="preserve">Erhvervsfaglige uddannelser: </w:t>
            </w:r>
          </w:p>
        </w:tc>
        <w:tc>
          <w:tcPr>
            <w:tcW w:w="1604" w:type="dxa"/>
          </w:tcPr>
          <w:p w:rsidR="004502B2" w:rsidRDefault="004502B2" w:rsidP="009D396C">
            <w:pPr>
              <w:pStyle w:val="paragraph"/>
              <w:textAlignment w:val="baseline"/>
              <w:rPr>
                <w:rStyle w:val="eop"/>
              </w:rPr>
            </w:pPr>
            <w:r>
              <w:rPr>
                <w:rStyle w:val="eop"/>
              </w:rPr>
              <w:t xml:space="preserve">2,1% </w:t>
            </w:r>
            <w:r w:rsidRPr="00996B32">
              <w:rPr>
                <w:rStyle w:val="eop"/>
                <w:color w:val="FF0000"/>
              </w:rPr>
              <w:t>(4,2%)</w:t>
            </w:r>
          </w:p>
        </w:tc>
        <w:tc>
          <w:tcPr>
            <w:tcW w:w="1605" w:type="dxa"/>
          </w:tcPr>
          <w:p w:rsidR="004502B2" w:rsidRDefault="004502B2" w:rsidP="009D396C">
            <w:pPr>
              <w:pStyle w:val="paragraph"/>
              <w:textAlignment w:val="baseline"/>
              <w:rPr>
                <w:rStyle w:val="eop"/>
              </w:rPr>
            </w:pPr>
            <w:r>
              <w:rPr>
                <w:rStyle w:val="eop"/>
              </w:rPr>
              <w:t xml:space="preserve">3,9% </w:t>
            </w:r>
            <w:r w:rsidRPr="00996B32">
              <w:rPr>
                <w:rStyle w:val="eop"/>
                <w:color w:val="FF0000"/>
              </w:rPr>
              <w:t>(3,9%)</w:t>
            </w:r>
          </w:p>
        </w:tc>
        <w:tc>
          <w:tcPr>
            <w:tcW w:w="1605" w:type="dxa"/>
          </w:tcPr>
          <w:p w:rsidR="004502B2" w:rsidRDefault="004502B2" w:rsidP="009D396C">
            <w:pPr>
              <w:pStyle w:val="paragraph"/>
              <w:textAlignment w:val="baseline"/>
              <w:rPr>
                <w:rStyle w:val="eop"/>
              </w:rPr>
            </w:pPr>
            <w:r>
              <w:rPr>
                <w:rStyle w:val="eop"/>
              </w:rPr>
              <w:t>3%</w:t>
            </w:r>
          </w:p>
        </w:tc>
      </w:tr>
      <w:tr w:rsidR="004502B2" w:rsidTr="009D396C">
        <w:tc>
          <w:tcPr>
            <w:tcW w:w="4814" w:type="dxa"/>
          </w:tcPr>
          <w:p w:rsidR="004502B2" w:rsidRDefault="004502B2" w:rsidP="009D396C">
            <w:pPr>
              <w:pStyle w:val="paragraph"/>
              <w:textAlignment w:val="baseline"/>
              <w:rPr>
                <w:rStyle w:val="eop"/>
              </w:rPr>
            </w:pPr>
            <w:r>
              <w:rPr>
                <w:rStyle w:val="eop"/>
              </w:rPr>
              <w:t xml:space="preserve">Korte videregående uddannelser: </w:t>
            </w:r>
          </w:p>
        </w:tc>
        <w:tc>
          <w:tcPr>
            <w:tcW w:w="1604" w:type="dxa"/>
          </w:tcPr>
          <w:p w:rsidR="004502B2" w:rsidRDefault="004502B2" w:rsidP="009D396C">
            <w:pPr>
              <w:pStyle w:val="paragraph"/>
              <w:textAlignment w:val="baseline"/>
              <w:rPr>
                <w:rStyle w:val="eop"/>
              </w:rPr>
            </w:pPr>
            <w:r>
              <w:rPr>
                <w:rStyle w:val="eop"/>
              </w:rPr>
              <w:t xml:space="preserve">2,6% </w:t>
            </w:r>
            <w:r w:rsidRPr="00996B32">
              <w:rPr>
                <w:rStyle w:val="eop"/>
                <w:color w:val="FF0000"/>
              </w:rPr>
              <w:t>(3,9%)</w:t>
            </w:r>
          </w:p>
        </w:tc>
        <w:tc>
          <w:tcPr>
            <w:tcW w:w="1605" w:type="dxa"/>
          </w:tcPr>
          <w:p w:rsidR="004502B2" w:rsidRDefault="004502B2" w:rsidP="009D396C">
            <w:pPr>
              <w:pStyle w:val="paragraph"/>
              <w:textAlignment w:val="baseline"/>
              <w:rPr>
                <w:rStyle w:val="eop"/>
              </w:rPr>
            </w:pPr>
            <w:r>
              <w:rPr>
                <w:rStyle w:val="eop"/>
              </w:rPr>
              <w:t>2,6% (3,9%)</w:t>
            </w:r>
          </w:p>
        </w:tc>
        <w:tc>
          <w:tcPr>
            <w:tcW w:w="1605" w:type="dxa"/>
          </w:tcPr>
          <w:p w:rsidR="004502B2" w:rsidRDefault="004502B2" w:rsidP="009D396C">
            <w:pPr>
              <w:pStyle w:val="paragraph"/>
              <w:textAlignment w:val="baseline"/>
              <w:rPr>
                <w:rStyle w:val="eop"/>
              </w:rPr>
            </w:pPr>
            <w:r>
              <w:rPr>
                <w:rStyle w:val="eop"/>
              </w:rPr>
              <w:t>2,6%</w:t>
            </w:r>
          </w:p>
        </w:tc>
      </w:tr>
      <w:tr w:rsidR="004502B2" w:rsidTr="009D396C">
        <w:tc>
          <w:tcPr>
            <w:tcW w:w="4814" w:type="dxa"/>
          </w:tcPr>
          <w:p w:rsidR="004502B2" w:rsidRDefault="004502B2" w:rsidP="009D396C">
            <w:pPr>
              <w:pStyle w:val="paragraph"/>
              <w:textAlignment w:val="baseline"/>
              <w:rPr>
                <w:rStyle w:val="eop"/>
              </w:rPr>
            </w:pPr>
            <w:r>
              <w:rPr>
                <w:rStyle w:val="eop"/>
              </w:rPr>
              <w:t xml:space="preserve">Mellemlange videregående uddannelser: </w:t>
            </w:r>
          </w:p>
        </w:tc>
        <w:tc>
          <w:tcPr>
            <w:tcW w:w="1604" w:type="dxa"/>
          </w:tcPr>
          <w:p w:rsidR="004502B2" w:rsidRDefault="004502B2" w:rsidP="009D396C">
            <w:pPr>
              <w:pStyle w:val="paragraph"/>
              <w:textAlignment w:val="baseline"/>
              <w:rPr>
                <w:rStyle w:val="eop"/>
              </w:rPr>
            </w:pPr>
            <w:r>
              <w:rPr>
                <w:rStyle w:val="eop"/>
              </w:rPr>
              <w:t xml:space="preserve">13,1% </w:t>
            </w:r>
            <w:r w:rsidRPr="00996B32">
              <w:rPr>
                <w:rStyle w:val="eop"/>
                <w:color w:val="FF0000"/>
              </w:rPr>
              <w:t>(19,5%)</w:t>
            </w:r>
          </w:p>
        </w:tc>
        <w:tc>
          <w:tcPr>
            <w:tcW w:w="1605" w:type="dxa"/>
          </w:tcPr>
          <w:p w:rsidR="004502B2" w:rsidRDefault="004502B2" w:rsidP="009D396C">
            <w:pPr>
              <w:pStyle w:val="paragraph"/>
              <w:textAlignment w:val="baseline"/>
              <w:rPr>
                <w:rStyle w:val="eop"/>
              </w:rPr>
            </w:pPr>
            <w:r>
              <w:rPr>
                <w:rStyle w:val="eop"/>
              </w:rPr>
              <w:t xml:space="preserve">9,9% </w:t>
            </w:r>
            <w:r w:rsidRPr="00996B32">
              <w:rPr>
                <w:rStyle w:val="eop"/>
                <w:color w:val="FF0000"/>
              </w:rPr>
              <w:t>(18,5)</w:t>
            </w:r>
          </w:p>
        </w:tc>
        <w:tc>
          <w:tcPr>
            <w:tcW w:w="1605" w:type="dxa"/>
          </w:tcPr>
          <w:p w:rsidR="004502B2" w:rsidRDefault="004502B2" w:rsidP="009D396C">
            <w:pPr>
              <w:pStyle w:val="paragraph"/>
              <w:textAlignment w:val="baseline"/>
              <w:rPr>
                <w:rStyle w:val="eop"/>
              </w:rPr>
            </w:pPr>
            <w:r>
              <w:rPr>
                <w:rStyle w:val="eop"/>
              </w:rPr>
              <w:t>10,4%</w:t>
            </w:r>
          </w:p>
        </w:tc>
      </w:tr>
      <w:tr w:rsidR="004502B2" w:rsidTr="009D396C">
        <w:tc>
          <w:tcPr>
            <w:tcW w:w="4814" w:type="dxa"/>
          </w:tcPr>
          <w:p w:rsidR="004502B2" w:rsidRDefault="004502B2" w:rsidP="009D396C">
            <w:pPr>
              <w:pStyle w:val="paragraph"/>
              <w:textAlignment w:val="baseline"/>
              <w:rPr>
                <w:rStyle w:val="eop"/>
              </w:rPr>
            </w:pPr>
            <w:r>
              <w:rPr>
                <w:rStyle w:val="eop"/>
              </w:rPr>
              <w:t xml:space="preserve">Lange videregående uddannelser*: </w:t>
            </w:r>
          </w:p>
        </w:tc>
        <w:tc>
          <w:tcPr>
            <w:tcW w:w="1604" w:type="dxa"/>
          </w:tcPr>
          <w:p w:rsidR="004502B2" w:rsidRDefault="004502B2" w:rsidP="009D396C">
            <w:pPr>
              <w:pStyle w:val="paragraph"/>
              <w:textAlignment w:val="baseline"/>
              <w:rPr>
                <w:rStyle w:val="eop"/>
              </w:rPr>
            </w:pPr>
            <w:r>
              <w:rPr>
                <w:rStyle w:val="eop"/>
              </w:rPr>
              <w:t xml:space="preserve">48,3% </w:t>
            </w:r>
            <w:r w:rsidRPr="00996B32">
              <w:rPr>
                <w:rStyle w:val="eop"/>
                <w:color w:val="FF0000"/>
              </w:rPr>
              <w:t>(52,1%)</w:t>
            </w:r>
          </w:p>
        </w:tc>
        <w:tc>
          <w:tcPr>
            <w:tcW w:w="1605" w:type="dxa"/>
          </w:tcPr>
          <w:p w:rsidR="004502B2" w:rsidRDefault="004502B2" w:rsidP="009D396C">
            <w:pPr>
              <w:pStyle w:val="paragraph"/>
              <w:textAlignment w:val="baseline"/>
              <w:rPr>
                <w:rStyle w:val="eop"/>
              </w:rPr>
            </w:pPr>
            <w:r>
              <w:rPr>
                <w:rStyle w:val="eop"/>
              </w:rPr>
              <w:t xml:space="preserve">49,6% </w:t>
            </w:r>
            <w:r w:rsidRPr="00996B32">
              <w:rPr>
                <w:rStyle w:val="eop"/>
                <w:color w:val="FF0000"/>
              </w:rPr>
              <w:t>(53,4%)</w:t>
            </w:r>
          </w:p>
        </w:tc>
        <w:tc>
          <w:tcPr>
            <w:tcW w:w="1605" w:type="dxa"/>
          </w:tcPr>
          <w:p w:rsidR="004502B2" w:rsidRDefault="004502B2" w:rsidP="009D396C">
            <w:pPr>
              <w:pStyle w:val="paragraph"/>
              <w:textAlignment w:val="baseline"/>
              <w:rPr>
                <w:rStyle w:val="eop"/>
              </w:rPr>
            </w:pPr>
            <w:r>
              <w:rPr>
                <w:rStyle w:val="eop"/>
              </w:rPr>
              <w:t>50,4%</w:t>
            </w:r>
          </w:p>
        </w:tc>
      </w:tr>
      <w:tr w:rsidR="004502B2" w:rsidTr="009D396C">
        <w:tc>
          <w:tcPr>
            <w:tcW w:w="4814" w:type="dxa"/>
          </w:tcPr>
          <w:p w:rsidR="004502B2" w:rsidRDefault="004502B2" w:rsidP="009D396C">
            <w:pPr>
              <w:pStyle w:val="paragraph"/>
              <w:textAlignment w:val="baseline"/>
              <w:rPr>
                <w:rStyle w:val="eop"/>
              </w:rPr>
            </w:pPr>
            <w:r>
              <w:rPr>
                <w:rStyle w:val="eop"/>
              </w:rPr>
              <w:t xml:space="preserve">Uoplyst: </w:t>
            </w:r>
          </w:p>
        </w:tc>
        <w:tc>
          <w:tcPr>
            <w:tcW w:w="1604" w:type="dxa"/>
          </w:tcPr>
          <w:p w:rsidR="004502B2" w:rsidRDefault="004502B2" w:rsidP="009D396C">
            <w:pPr>
              <w:pStyle w:val="paragraph"/>
              <w:textAlignment w:val="baseline"/>
              <w:rPr>
                <w:rStyle w:val="eop"/>
              </w:rPr>
            </w:pPr>
            <w:r>
              <w:rPr>
                <w:rStyle w:val="eop"/>
              </w:rPr>
              <w:t xml:space="preserve">34,3% </w:t>
            </w:r>
            <w:r w:rsidRPr="00996B32">
              <w:rPr>
                <w:rStyle w:val="eop"/>
                <w:color w:val="FF0000"/>
              </w:rPr>
              <w:t>(20,8%)</w:t>
            </w:r>
          </w:p>
        </w:tc>
        <w:tc>
          <w:tcPr>
            <w:tcW w:w="1605" w:type="dxa"/>
          </w:tcPr>
          <w:p w:rsidR="004502B2" w:rsidRDefault="004502B2" w:rsidP="009D396C">
            <w:pPr>
              <w:pStyle w:val="paragraph"/>
              <w:textAlignment w:val="baseline"/>
              <w:rPr>
                <w:rStyle w:val="eop"/>
              </w:rPr>
            </w:pPr>
            <w:r>
              <w:rPr>
                <w:rStyle w:val="eop"/>
              </w:rPr>
              <w:t xml:space="preserve">32,8% </w:t>
            </w:r>
            <w:r w:rsidRPr="00996B32">
              <w:rPr>
                <w:rStyle w:val="eop"/>
                <w:color w:val="FF0000"/>
              </w:rPr>
              <w:t>(15,5%)</w:t>
            </w:r>
          </w:p>
        </w:tc>
        <w:tc>
          <w:tcPr>
            <w:tcW w:w="1605" w:type="dxa"/>
          </w:tcPr>
          <w:p w:rsidR="004502B2" w:rsidRDefault="004502B2" w:rsidP="009D396C">
            <w:pPr>
              <w:pStyle w:val="paragraph"/>
              <w:textAlignment w:val="baseline"/>
              <w:rPr>
                <w:rStyle w:val="eop"/>
              </w:rPr>
            </w:pPr>
            <w:r>
              <w:rPr>
                <w:rStyle w:val="eop"/>
              </w:rPr>
              <w:t>34,8%</w:t>
            </w:r>
          </w:p>
        </w:tc>
      </w:tr>
      <w:tr w:rsidR="004502B2" w:rsidTr="004502B2">
        <w:tc>
          <w:tcPr>
            <w:tcW w:w="4814" w:type="dxa"/>
            <w:shd w:val="clear" w:color="auto" w:fill="FFC000"/>
          </w:tcPr>
          <w:p w:rsidR="004502B2" w:rsidRDefault="004502B2" w:rsidP="009D396C">
            <w:pPr>
              <w:pStyle w:val="paragraph"/>
              <w:textAlignment w:val="baseline"/>
              <w:rPr>
                <w:rStyle w:val="eop"/>
              </w:rPr>
            </w:pPr>
            <w:r>
              <w:rPr>
                <w:rStyle w:val="eop"/>
              </w:rPr>
              <w:t xml:space="preserve">Samlet overgangsfrekvens: </w:t>
            </w:r>
          </w:p>
        </w:tc>
        <w:tc>
          <w:tcPr>
            <w:tcW w:w="1604" w:type="dxa"/>
            <w:shd w:val="clear" w:color="auto" w:fill="FFC000"/>
          </w:tcPr>
          <w:p w:rsidR="004502B2" w:rsidRDefault="004502B2" w:rsidP="009D396C">
            <w:pPr>
              <w:pStyle w:val="paragraph"/>
              <w:textAlignment w:val="baseline"/>
              <w:rPr>
                <w:rStyle w:val="eop"/>
              </w:rPr>
            </w:pPr>
            <w:r>
              <w:rPr>
                <w:rStyle w:val="eop"/>
              </w:rPr>
              <w:t xml:space="preserve">66,1% </w:t>
            </w:r>
            <w:r w:rsidRPr="00996B32">
              <w:rPr>
                <w:rStyle w:val="eop"/>
                <w:color w:val="FF0000"/>
              </w:rPr>
              <w:t>(79,7%)</w:t>
            </w:r>
          </w:p>
        </w:tc>
        <w:tc>
          <w:tcPr>
            <w:tcW w:w="1605" w:type="dxa"/>
            <w:shd w:val="clear" w:color="auto" w:fill="FFC000"/>
          </w:tcPr>
          <w:p w:rsidR="004502B2" w:rsidRDefault="004502B2" w:rsidP="009D396C">
            <w:pPr>
              <w:pStyle w:val="paragraph"/>
              <w:textAlignment w:val="baseline"/>
              <w:rPr>
                <w:rStyle w:val="eop"/>
              </w:rPr>
            </w:pPr>
            <w:r>
              <w:rPr>
                <w:rStyle w:val="eop"/>
              </w:rPr>
              <w:t xml:space="preserve">66% </w:t>
            </w:r>
            <w:r w:rsidRPr="00996B32">
              <w:rPr>
                <w:rStyle w:val="eop"/>
                <w:color w:val="FF0000"/>
              </w:rPr>
              <w:t>(79,7%)</w:t>
            </w:r>
          </w:p>
        </w:tc>
        <w:tc>
          <w:tcPr>
            <w:tcW w:w="1605" w:type="dxa"/>
            <w:shd w:val="clear" w:color="auto" w:fill="FFC000"/>
          </w:tcPr>
          <w:p w:rsidR="004502B2" w:rsidRDefault="004502B2" w:rsidP="009D396C">
            <w:pPr>
              <w:pStyle w:val="paragraph"/>
              <w:textAlignment w:val="baseline"/>
              <w:rPr>
                <w:rStyle w:val="eop"/>
              </w:rPr>
            </w:pPr>
            <w:r>
              <w:rPr>
                <w:rStyle w:val="eop"/>
              </w:rPr>
              <w:t>66,4%</w:t>
            </w:r>
          </w:p>
        </w:tc>
      </w:tr>
      <w:tr w:rsidR="004502B2" w:rsidTr="004502B2">
        <w:tc>
          <w:tcPr>
            <w:tcW w:w="4814" w:type="dxa"/>
            <w:shd w:val="clear" w:color="auto" w:fill="FFC000"/>
          </w:tcPr>
          <w:p w:rsidR="004502B2" w:rsidRDefault="004502B2" w:rsidP="009D396C">
            <w:pPr>
              <w:pStyle w:val="paragraph"/>
              <w:textAlignment w:val="baseline"/>
              <w:rPr>
                <w:rStyle w:val="eop"/>
              </w:rPr>
            </w:pPr>
            <w:r>
              <w:rPr>
                <w:rStyle w:val="eop"/>
              </w:rPr>
              <w:t>%-del, der søger lang videregående uddannelse</w:t>
            </w:r>
          </w:p>
        </w:tc>
        <w:tc>
          <w:tcPr>
            <w:tcW w:w="1604" w:type="dxa"/>
            <w:shd w:val="clear" w:color="auto" w:fill="FFC000"/>
          </w:tcPr>
          <w:p w:rsidR="004502B2" w:rsidRDefault="004502B2" w:rsidP="009D396C">
            <w:pPr>
              <w:pStyle w:val="paragraph"/>
              <w:textAlignment w:val="baseline"/>
              <w:rPr>
                <w:rStyle w:val="eop"/>
              </w:rPr>
            </w:pPr>
            <w:r>
              <w:rPr>
                <w:rStyle w:val="eop"/>
              </w:rPr>
              <w:t xml:space="preserve">73% </w:t>
            </w:r>
            <w:r w:rsidRPr="00996B32">
              <w:rPr>
                <w:rStyle w:val="eop"/>
                <w:color w:val="FF0000"/>
              </w:rPr>
              <w:t>(65%)</w:t>
            </w:r>
          </w:p>
        </w:tc>
        <w:tc>
          <w:tcPr>
            <w:tcW w:w="1605" w:type="dxa"/>
            <w:shd w:val="clear" w:color="auto" w:fill="FFC000"/>
          </w:tcPr>
          <w:p w:rsidR="004502B2" w:rsidRDefault="004502B2" w:rsidP="009D396C">
            <w:pPr>
              <w:pStyle w:val="paragraph"/>
              <w:textAlignment w:val="baseline"/>
              <w:rPr>
                <w:rStyle w:val="eop"/>
              </w:rPr>
            </w:pPr>
            <w:r>
              <w:rPr>
                <w:rStyle w:val="eop"/>
              </w:rPr>
              <w:t xml:space="preserve">75% </w:t>
            </w:r>
            <w:r w:rsidRPr="00996B32">
              <w:rPr>
                <w:rStyle w:val="eop"/>
                <w:color w:val="FF0000"/>
              </w:rPr>
              <w:t>(67%)</w:t>
            </w:r>
          </w:p>
        </w:tc>
        <w:tc>
          <w:tcPr>
            <w:tcW w:w="1605" w:type="dxa"/>
            <w:shd w:val="clear" w:color="auto" w:fill="FFC000"/>
          </w:tcPr>
          <w:p w:rsidR="004502B2" w:rsidRDefault="004502B2" w:rsidP="009D396C">
            <w:pPr>
              <w:pStyle w:val="paragraph"/>
              <w:textAlignment w:val="baseline"/>
              <w:rPr>
                <w:rStyle w:val="eop"/>
              </w:rPr>
            </w:pPr>
            <w:r>
              <w:rPr>
                <w:rStyle w:val="eop"/>
              </w:rPr>
              <w:t>76%</w:t>
            </w:r>
          </w:p>
        </w:tc>
      </w:tr>
    </w:tbl>
    <w:p w:rsidR="004502B2" w:rsidRDefault="004502B2" w:rsidP="004502B2">
      <w:pPr>
        <w:pStyle w:val="paragraph"/>
        <w:textAlignment w:val="baseline"/>
        <w:rPr>
          <w:rStyle w:val="eop"/>
        </w:rPr>
      </w:pPr>
    </w:p>
    <w:p w:rsidR="004502B2" w:rsidRPr="00DA2BEC" w:rsidRDefault="004502B2" w:rsidP="00A308EE">
      <w:pPr>
        <w:spacing w:line="276" w:lineRule="auto"/>
        <w:rPr>
          <w:rFonts w:ascii="Times New Roman" w:hAnsi="Times New Roman" w:cs="Times New Roman"/>
          <w:sz w:val="24"/>
          <w:szCs w:val="24"/>
        </w:rPr>
      </w:pPr>
    </w:p>
    <w:p w:rsidR="001052CE" w:rsidRDefault="00484C90" w:rsidP="0055520D">
      <w:pPr>
        <w:pStyle w:val="paragraph"/>
        <w:textAlignment w:val="baseline"/>
        <w:rPr>
          <w:rStyle w:val="eop"/>
          <w:i/>
        </w:rPr>
      </w:pPr>
      <w:r w:rsidRPr="0055520D">
        <w:rPr>
          <w:i/>
        </w:rPr>
        <w:t>Konklusion:</w:t>
      </w:r>
      <w:r w:rsidR="0055520D" w:rsidRPr="0055520D">
        <w:rPr>
          <w:i/>
        </w:rPr>
        <w:t xml:space="preserve"> </w:t>
      </w:r>
      <w:r w:rsidR="0055520D" w:rsidRPr="0055520D">
        <w:rPr>
          <w:rStyle w:val="eop"/>
          <w:i/>
        </w:rPr>
        <w:t xml:space="preserve"> Resultaterne i ovenstående tabel viser, at første kvalitetsmål ikke er opfyldt, i det overgangsfrekvensen til videregående uddannelse er lavere end landsgennemsnittet. </w:t>
      </w:r>
      <w:r w:rsidR="0055520D">
        <w:rPr>
          <w:rStyle w:val="eop"/>
          <w:i/>
        </w:rPr>
        <w:t xml:space="preserve">Da vi ved, at mange af skolens elever kommer sent i gang med uddannelse, kunne det være interessant at kende tallene </w:t>
      </w:r>
      <w:r w:rsidR="001052CE">
        <w:rPr>
          <w:rStyle w:val="eop"/>
          <w:i/>
        </w:rPr>
        <w:t>mere end tre-fire år efter studentereksamen. Disse tal er desværre ikke tilgængelige.</w:t>
      </w:r>
    </w:p>
    <w:p w:rsidR="0055520D" w:rsidRPr="0055520D" w:rsidRDefault="0055520D" w:rsidP="0055520D">
      <w:pPr>
        <w:pStyle w:val="paragraph"/>
        <w:textAlignment w:val="baseline"/>
        <w:rPr>
          <w:rStyle w:val="eop"/>
          <w:i/>
        </w:rPr>
      </w:pPr>
      <w:r w:rsidRPr="0055520D">
        <w:rPr>
          <w:rStyle w:val="eop"/>
          <w:i/>
        </w:rPr>
        <w:t xml:space="preserve">Andet kvalitetsmål er til gengæld opfyldt, i det 76% af dem, der søger videre, vælger en </w:t>
      </w:r>
      <w:r w:rsidRPr="0055520D">
        <w:rPr>
          <w:rStyle w:val="normaltextrun"/>
          <w:i/>
          <w:color w:val="000000"/>
          <w:bdr w:val="none" w:sz="0" w:space="0" w:color="auto" w:frame="1"/>
        </w:rPr>
        <w:t>længerevarende videregående uddannelse.</w:t>
      </w:r>
    </w:p>
    <w:p w:rsidR="001052CE" w:rsidRDefault="001052CE" w:rsidP="001052CE">
      <w:pPr>
        <w:spacing w:after="0" w:line="276" w:lineRule="auto"/>
        <w:rPr>
          <w:rFonts w:ascii="Times New Roman" w:hAnsi="Times New Roman" w:cs="Times New Roman"/>
          <w:i/>
          <w:sz w:val="24"/>
          <w:szCs w:val="24"/>
          <w:highlight w:val="yellow"/>
        </w:rPr>
      </w:pPr>
    </w:p>
    <w:p w:rsidR="00484C90" w:rsidRPr="001052CE" w:rsidRDefault="00484C90" w:rsidP="00484C90">
      <w:pPr>
        <w:spacing w:line="276" w:lineRule="auto"/>
        <w:rPr>
          <w:rFonts w:ascii="Times New Roman" w:hAnsi="Times New Roman" w:cs="Times New Roman"/>
          <w:i/>
          <w:sz w:val="24"/>
          <w:szCs w:val="24"/>
        </w:rPr>
      </w:pPr>
      <w:r w:rsidRPr="001052CE">
        <w:rPr>
          <w:rFonts w:ascii="Times New Roman" w:hAnsi="Times New Roman" w:cs="Times New Roman"/>
          <w:i/>
          <w:sz w:val="24"/>
          <w:szCs w:val="24"/>
        </w:rPr>
        <w:t>Opfølgning:</w:t>
      </w:r>
      <w:r w:rsidR="001052CE">
        <w:rPr>
          <w:rFonts w:ascii="Times New Roman" w:hAnsi="Times New Roman" w:cs="Times New Roman"/>
          <w:i/>
          <w:sz w:val="24"/>
          <w:szCs w:val="24"/>
        </w:rPr>
        <w:t xml:space="preserve"> Ovenstående tal skal i næste skoleår gøres til genstand for en nærmere diskussion på skolen, hvor det debatteres, hvilke handlemuligheder vi har for at sikre en højere og tidligere overgangsfrekvens til videregående uddannelse.</w:t>
      </w:r>
    </w:p>
    <w:p w:rsidR="00012843" w:rsidRPr="00012843" w:rsidRDefault="00012843" w:rsidP="00A308EE">
      <w:pPr>
        <w:spacing w:line="276" w:lineRule="auto"/>
        <w:rPr>
          <w:rFonts w:ascii="Times New Roman" w:hAnsi="Times New Roman" w:cs="Times New Roman"/>
          <w:sz w:val="24"/>
          <w:szCs w:val="24"/>
        </w:rPr>
      </w:pPr>
    </w:p>
    <w:p w:rsidR="00DA2BEC" w:rsidRPr="0036691F" w:rsidRDefault="003434A8"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Medarbejdertrivselsundersøgelsen og APV</w:t>
      </w:r>
    </w:p>
    <w:p w:rsidR="00A308EE" w:rsidRPr="00A308EE" w:rsidRDefault="00A308EE" w:rsidP="00A308EE">
      <w:pPr>
        <w:spacing w:line="276" w:lineRule="auto"/>
        <w:rPr>
          <w:rFonts w:ascii="Times New Roman" w:hAnsi="Times New Roman" w:cs="Times New Roman"/>
          <w:sz w:val="24"/>
          <w:szCs w:val="24"/>
        </w:rPr>
      </w:pPr>
      <w:r w:rsidRPr="00A308EE">
        <w:rPr>
          <w:rFonts w:ascii="Times New Roman" w:hAnsi="Times New Roman" w:cs="Times New Roman"/>
          <w:sz w:val="24"/>
          <w:szCs w:val="24"/>
        </w:rPr>
        <w:t>Skolen gennemfører hvert tredje år en medarbejdertrivselsundersøgelse og en arbejdspladsvurdering. Undersøgelsen tilrettelægges af SU, og SU vedtager efterfølgende opfølgende handlingsplaner med angivelse af tidsramme og ansvarlige.</w:t>
      </w:r>
    </w:p>
    <w:p w:rsidR="00A308EE" w:rsidRPr="002458D9" w:rsidRDefault="00A308EE" w:rsidP="00A308EE">
      <w:pPr>
        <w:spacing w:line="276" w:lineRule="auto"/>
        <w:rPr>
          <w:rFonts w:ascii="Times New Roman" w:hAnsi="Times New Roman" w:cs="Times New Roman"/>
          <w:b/>
          <w:sz w:val="24"/>
          <w:szCs w:val="24"/>
        </w:rPr>
      </w:pPr>
      <w:r w:rsidRPr="002458D9">
        <w:rPr>
          <w:rFonts w:ascii="Times New Roman" w:hAnsi="Times New Roman" w:cs="Times New Roman"/>
          <w:b/>
          <w:sz w:val="24"/>
          <w:szCs w:val="24"/>
        </w:rPr>
        <w:t>Kvalitetsmål 19-20:</w:t>
      </w:r>
    </w:p>
    <w:p w:rsidR="00A308EE" w:rsidRDefault="00A308EE" w:rsidP="00A308EE">
      <w:pPr>
        <w:pStyle w:val="Listeafsni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Der udarbejdes en ny MTU og APV i foråret 2020 og der udarbejdes handlingsplaner til denne.</w:t>
      </w:r>
    </w:p>
    <w:p w:rsidR="00E81943" w:rsidRPr="004E036F" w:rsidRDefault="00E81943" w:rsidP="00E81943">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Der er efter forarbejde i SU i efteråret 2019 udarbejdet en ny arbejdspladsvurdering og medarbejdertrivselsundersøgelse i marts 2020. </w:t>
      </w:r>
      <w:r w:rsidRPr="004E036F">
        <w:rPr>
          <w:rFonts w:ascii="Times New Roman" w:hAnsi="Times New Roman" w:cs="Times New Roman"/>
          <w:i/>
          <w:sz w:val="24"/>
          <w:szCs w:val="24"/>
        </w:rPr>
        <w:t xml:space="preserve">Svarprocenten var på 86%. Generelt er resultaterne meget tilfredsstillende og tegner et billede af en endog rigtig god arbejdsplads. En undergruppe </w:t>
      </w:r>
      <w:r w:rsidRPr="004E036F">
        <w:rPr>
          <w:rFonts w:ascii="Times New Roman" w:hAnsi="Times New Roman" w:cs="Times New Roman"/>
          <w:i/>
          <w:sz w:val="24"/>
          <w:szCs w:val="24"/>
        </w:rPr>
        <w:lastRenderedPageBreak/>
        <w:t>under SU har på baggrund af resultaterne udarbejdet handlingsplaner, som SU efterfølgende har vedtaget. Der arbejdes nu med at følge op på handlingsplanerne.</w:t>
      </w:r>
    </w:p>
    <w:p w:rsidR="00A308EE" w:rsidRDefault="00A308EE" w:rsidP="00A308EE">
      <w:pPr>
        <w:pStyle w:val="Listeafsni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Det er målet, at skolen ligger på niveau med resultaterne fra den sidste undersøgelse.</w:t>
      </w:r>
    </w:p>
    <w:p w:rsidR="00E81943" w:rsidRDefault="00E81943" w:rsidP="00E81943">
      <w:pPr>
        <w:spacing w:line="276" w:lineRule="auto"/>
        <w:rPr>
          <w:rFonts w:ascii="Times New Roman" w:hAnsi="Times New Roman" w:cs="Times New Roman"/>
          <w:i/>
          <w:sz w:val="24"/>
          <w:szCs w:val="24"/>
        </w:rPr>
      </w:pPr>
      <w:r w:rsidRPr="00E81943">
        <w:rPr>
          <w:rFonts w:ascii="Times New Roman" w:hAnsi="Times New Roman" w:cs="Times New Roman"/>
          <w:i/>
          <w:sz w:val="24"/>
          <w:szCs w:val="24"/>
        </w:rPr>
        <w:t>Skolens resultater ligger</w:t>
      </w:r>
      <w:r w:rsidR="00920122">
        <w:rPr>
          <w:rFonts w:ascii="Times New Roman" w:hAnsi="Times New Roman" w:cs="Times New Roman"/>
          <w:i/>
          <w:sz w:val="24"/>
          <w:szCs w:val="24"/>
        </w:rPr>
        <w:t>,</w:t>
      </w:r>
      <w:r w:rsidRPr="00E81943">
        <w:rPr>
          <w:rFonts w:ascii="Times New Roman" w:hAnsi="Times New Roman" w:cs="Times New Roman"/>
          <w:i/>
          <w:sz w:val="24"/>
          <w:szCs w:val="24"/>
        </w:rPr>
        <w:t xml:space="preserve"> hvad angår de fleste svar</w:t>
      </w:r>
      <w:r w:rsidR="00920122">
        <w:rPr>
          <w:rFonts w:ascii="Times New Roman" w:hAnsi="Times New Roman" w:cs="Times New Roman"/>
          <w:i/>
          <w:sz w:val="24"/>
          <w:szCs w:val="24"/>
        </w:rPr>
        <w:t>,</w:t>
      </w:r>
      <w:r w:rsidRPr="00E81943">
        <w:rPr>
          <w:rFonts w:ascii="Times New Roman" w:hAnsi="Times New Roman" w:cs="Times New Roman"/>
          <w:i/>
          <w:sz w:val="24"/>
          <w:szCs w:val="24"/>
        </w:rPr>
        <w:t xml:space="preserve"> over resultaterne fra den sidste undersøgelse.</w:t>
      </w:r>
      <w:r w:rsidR="00920122">
        <w:rPr>
          <w:rFonts w:ascii="Times New Roman" w:hAnsi="Times New Roman" w:cs="Times New Roman"/>
          <w:i/>
          <w:sz w:val="24"/>
          <w:szCs w:val="24"/>
        </w:rPr>
        <w:t xml:space="preserve"> Der er tale om en meget tilfredsstillende undersøgelse af </w:t>
      </w:r>
      <w:r w:rsidR="00401304">
        <w:rPr>
          <w:rFonts w:ascii="Times New Roman" w:hAnsi="Times New Roman" w:cs="Times New Roman"/>
          <w:i/>
          <w:sz w:val="24"/>
          <w:szCs w:val="24"/>
        </w:rPr>
        <w:t>trivslen mm. på arbejdspladsen.</w:t>
      </w:r>
    </w:p>
    <w:p w:rsidR="00484C90" w:rsidRPr="00B21E9F" w:rsidRDefault="00484C90" w:rsidP="00484C90">
      <w:pPr>
        <w:spacing w:line="276" w:lineRule="auto"/>
        <w:rPr>
          <w:rFonts w:ascii="Times New Roman" w:hAnsi="Times New Roman" w:cs="Times New Roman"/>
          <w:i/>
          <w:sz w:val="24"/>
          <w:szCs w:val="24"/>
        </w:rPr>
      </w:pPr>
      <w:r w:rsidRPr="00B21E9F">
        <w:rPr>
          <w:rFonts w:ascii="Times New Roman" w:hAnsi="Times New Roman" w:cs="Times New Roman"/>
          <w:i/>
          <w:sz w:val="24"/>
          <w:szCs w:val="24"/>
        </w:rPr>
        <w:t>Konklusion:</w:t>
      </w:r>
      <w:r w:rsidR="00BF4BBE" w:rsidRPr="00B21E9F">
        <w:rPr>
          <w:rFonts w:ascii="Times New Roman" w:hAnsi="Times New Roman" w:cs="Times New Roman"/>
          <w:i/>
          <w:sz w:val="24"/>
          <w:szCs w:val="24"/>
        </w:rPr>
        <w:t xml:space="preserve"> Der er udarbejde en ny MTU og </w:t>
      </w:r>
      <w:proofErr w:type="gramStart"/>
      <w:r w:rsidR="00BF4BBE" w:rsidRPr="00B21E9F">
        <w:rPr>
          <w:rFonts w:ascii="Times New Roman" w:hAnsi="Times New Roman" w:cs="Times New Roman"/>
          <w:i/>
          <w:sz w:val="24"/>
          <w:szCs w:val="24"/>
        </w:rPr>
        <w:t>APV  med</w:t>
      </w:r>
      <w:proofErr w:type="gramEnd"/>
      <w:r w:rsidR="00BF4BBE" w:rsidRPr="00B21E9F">
        <w:rPr>
          <w:rFonts w:ascii="Times New Roman" w:hAnsi="Times New Roman" w:cs="Times New Roman"/>
          <w:i/>
          <w:sz w:val="24"/>
          <w:szCs w:val="24"/>
        </w:rPr>
        <w:t xml:space="preserve"> tilhørende handlingsplaner og resultaterne ligger </w:t>
      </w:r>
      <w:r w:rsidR="00B21E9F" w:rsidRPr="00B21E9F">
        <w:rPr>
          <w:rFonts w:ascii="Times New Roman" w:hAnsi="Times New Roman" w:cs="Times New Roman"/>
          <w:i/>
          <w:sz w:val="24"/>
          <w:szCs w:val="24"/>
        </w:rPr>
        <w:t>samlet set over sidste undersøgelses resultater.</w:t>
      </w:r>
    </w:p>
    <w:p w:rsidR="00484C90" w:rsidRPr="00B21E9F" w:rsidRDefault="00484C90" w:rsidP="00484C90">
      <w:pPr>
        <w:spacing w:line="276" w:lineRule="auto"/>
        <w:rPr>
          <w:rFonts w:ascii="Times New Roman" w:hAnsi="Times New Roman" w:cs="Times New Roman"/>
          <w:i/>
          <w:sz w:val="24"/>
          <w:szCs w:val="24"/>
        </w:rPr>
      </w:pPr>
      <w:r w:rsidRPr="00B21E9F">
        <w:rPr>
          <w:rFonts w:ascii="Times New Roman" w:hAnsi="Times New Roman" w:cs="Times New Roman"/>
          <w:i/>
          <w:sz w:val="24"/>
          <w:szCs w:val="24"/>
        </w:rPr>
        <w:t>Opfølgning:</w:t>
      </w:r>
      <w:r w:rsidR="00B21E9F" w:rsidRPr="00B21E9F">
        <w:rPr>
          <w:rFonts w:ascii="Times New Roman" w:hAnsi="Times New Roman" w:cs="Times New Roman"/>
          <w:i/>
          <w:sz w:val="24"/>
          <w:szCs w:val="24"/>
        </w:rPr>
        <w:t xml:space="preserve"> Der følges i det kommende skoleår op på handlingsplanerne fra dette års undersøgelse.</w:t>
      </w:r>
    </w:p>
    <w:p w:rsidR="00401304" w:rsidRPr="00E81943" w:rsidRDefault="00401304" w:rsidP="00E81943">
      <w:pPr>
        <w:spacing w:line="276" w:lineRule="auto"/>
        <w:rPr>
          <w:rFonts w:ascii="Times New Roman" w:hAnsi="Times New Roman" w:cs="Times New Roman"/>
          <w:i/>
          <w:sz w:val="24"/>
          <w:szCs w:val="24"/>
        </w:rPr>
      </w:pPr>
    </w:p>
    <w:p w:rsidR="00012843" w:rsidRPr="0036691F" w:rsidRDefault="00A308EE"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012843" w:rsidRPr="0036691F">
        <w:rPr>
          <w:rFonts w:ascii="Times New Roman" w:hAnsi="Times New Roman" w:cs="Times New Roman"/>
          <w:b/>
          <w:sz w:val="28"/>
          <w:szCs w:val="28"/>
        </w:rPr>
        <w:t>Skolens årlige handlingsplaner fastsat i henhold til skolens strategi for årene 2019- 2023</w:t>
      </w:r>
    </w:p>
    <w:p w:rsidR="00012843" w:rsidRDefault="00012843" w:rsidP="00A308EE">
      <w:pPr>
        <w:spacing w:line="276" w:lineRule="auto"/>
        <w:rPr>
          <w:rFonts w:ascii="Times New Roman" w:hAnsi="Times New Roman" w:cs="Times New Roman"/>
          <w:sz w:val="24"/>
          <w:szCs w:val="24"/>
        </w:rPr>
      </w:pPr>
      <w:r w:rsidRPr="00C20DB3">
        <w:rPr>
          <w:rFonts w:ascii="Times New Roman" w:hAnsi="Times New Roman" w:cs="Times New Roman"/>
          <w:sz w:val="24"/>
          <w:szCs w:val="24"/>
        </w:rPr>
        <w:t>Skolens handlingsplaner indeholder h</w:t>
      </w:r>
      <w:r w:rsidR="00C20DB3">
        <w:rPr>
          <w:rFonts w:ascii="Times New Roman" w:hAnsi="Times New Roman" w:cs="Times New Roman"/>
          <w:sz w:val="24"/>
          <w:szCs w:val="24"/>
        </w:rPr>
        <w:t>vert år en række indsatsområder, som der arbejdes med i det pågældende skoleår. Til alle handlingsplaner er der knyttet målsætning, evalueringsprocedure og tovholdere i henhold til skolens strategiplan for årene 2019 – 2023.</w:t>
      </w:r>
      <w:r w:rsidR="00E8030A">
        <w:rPr>
          <w:rFonts w:ascii="Times New Roman" w:hAnsi="Times New Roman" w:cs="Times New Roman"/>
          <w:sz w:val="24"/>
          <w:szCs w:val="24"/>
        </w:rPr>
        <w:t xml:space="preserve"> Handlingsplanerne ses i bilag 1.</w:t>
      </w:r>
      <w:r w:rsidR="00A308EE">
        <w:rPr>
          <w:rFonts w:ascii="Times New Roman" w:hAnsi="Times New Roman" w:cs="Times New Roman"/>
          <w:sz w:val="24"/>
          <w:szCs w:val="24"/>
        </w:rPr>
        <w:t xml:space="preserve"> Der udarbejdes hvert år i august en opfølgning på disse handlingsplaner.</w:t>
      </w:r>
      <w:r w:rsidR="00E8030A">
        <w:rPr>
          <w:rFonts w:ascii="Times New Roman" w:hAnsi="Times New Roman" w:cs="Times New Roman"/>
          <w:sz w:val="24"/>
          <w:szCs w:val="24"/>
        </w:rPr>
        <w:t xml:space="preserve"> </w:t>
      </w:r>
    </w:p>
    <w:p w:rsidR="007E7928" w:rsidRPr="00E81943" w:rsidRDefault="00E81943" w:rsidP="00A308EE">
      <w:pPr>
        <w:spacing w:line="276" w:lineRule="auto"/>
        <w:rPr>
          <w:rFonts w:ascii="Times New Roman" w:hAnsi="Times New Roman" w:cs="Times New Roman"/>
          <w:i/>
          <w:sz w:val="24"/>
          <w:szCs w:val="24"/>
        </w:rPr>
      </w:pPr>
      <w:r w:rsidRPr="00E81943">
        <w:rPr>
          <w:rFonts w:ascii="Times New Roman" w:hAnsi="Times New Roman" w:cs="Times New Roman"/>
          <w:i/>
          <w:sz w:val="24"/>
          <w:szCs w:val="24"/>
        </w:rPr>
        <w:t xml:space="preserve">Der er udarbejdet en </w:t>
      </w:r>
      <w:r w:rsidRPr="001052CE">
        <w:rPr>
          <w:rFonts w:ascii="Times New Roman" w:hAnsi="Times New Roman" w:cs="Times New Roman"/>
          <w:i/>
          <w:sz w:val="24"/>
          <w:szCs w:val="24"/>
        </w:rPr>
        <w:t>særskilt opfølgning på handlingsp</w:t>
      </w:r>
      <w:r w:rsidR="001052CE" w:rsidRPr="001052CE">
        <w:rPr>
          <w:rFonts w:ascii="Times New Roman" w:hAnsi="Times New Roman" w:cs="Times New Roman"/>
          <w:i/>
          <w:sz w:val="24"/>
          <w:szCs w:val="24"/>
        </w:rPr>
        <w:t>lanerne – se denne.</w:t>
      </w:r>
    </w:p>
    <w:sectPr w:rsidR="007E7928" w:rsidRPr="00E81943">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453" w:rsidRDefault="00F34453" w:rsidP="00F34453">
      <w:pPr>
        <w:spacing w:after="0" w:line="240" w:lineRule="auto"/>
      </w:pPr>
      <w:r>
        <w:separator/>
      </w:r>
    </w:p>
  </w:endnote>
  <w:endnote w:type="continuationSeparator" w:id="0">
    <w:p w:rsidR="00F34453" w:rsidRDefault="00F34453" w:rsidP="00F3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79920"/>
      <w:docPartObj>
        <w:docPartGallery w:val="Page Numbers (Bottom of Page)"/>
        <w:docPartUnique/>
      </w:docPartObj>
    </w:sdtPr>
    <w:sdtEndPr/>
    <w:sdtContent>
      <w:p w:rsidR="00F34453" w:rsidRDefault="00F34453">
        <w:pPr>
          <w:pStyle w:val="Sidefod"/>
          <w:jc w:val="right"/>
        </w:pPr>
        <w:r>
          <w:fldChar w:fldCharType="begin"/>
        </w:r>
        <w:r>
          <w:instrText>PAGE   \* MERGEFORMAT</w:instrText>
        </w:r>
        <w:r>
          <w:fldChar w:fldCharType="separate"/>
        </w:r>
        <w:r>
          <w:t>2</w:t>
        </w:r>
        <w:r>
          <w:fldChar w:fldCharType="end"/>
        </w:r>
      </w:p>
    </w:sdtContent>
  </w:sdt>
  <w:p w:rsidR="00F34453" w:rsidRDefault="00F344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453" w:rsidRDefault="00F34453" w:rsidP="00F34453">
      <w:pPr>
        <w:spacing w:after="0" w:line="240" w:lineRule="auto"/>
      </w:pPr>
      <w:r>
        <w:separator/>
      </w:r>
    </w:p>
  </w:footnote>
  <w:footnote w:type="continuationSeparator" w:id="0">
    <w:p w:rsidR="00F34453" w:rsidRDefault="00F34453" w:rsidP="00F34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F3"/>
    <w:multiLevelType w:val="hybridMultilevel"/>
    <w:tmpl w:val="7A0C8E2C"/>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 w15:restartNumberingAfterBreak="0">
    <w:nsid w:val="07EB7EAF"/>
    <w:multiLevelType w:val="hybridMultilevel"/>
    <w:tmpl w:val="B1BAC472"/>
    <w:lvl w:ilvl="0" w:tplc="DF4013B2">
      <w:numFmt w:val="bullet"/>
      <w:lvlText w:val="-"/>
      <w:lvlJc w:val="left"/>
      <w:pPr>
        <w:ind w:left="720" w:hanging="360"/>
      </w:pPr>
      <w:rPr>
        <w:rFonts w:ascii="Times New Roman" w:eastAsiaTheme="minorHAnsi" w:hAnsi="Times New Roman"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6634AA"/>
    <w:multiLevelType w:val="hybridMultilevel"/>
    <w:tmpl w:val="8766EA82"/>
    <w:lvl w:ilvl="0" w:tplc="0C184F10">
      <w:numFmt w:val="bullet"/>
      <w:lvlText w:val="-"/>
      <w:lvlJc w:val="left"/>
      <w:pPr>
        <w:ind w:left="1080" w:hanging="360"/>
      </w:pPr>
      <w:rPr>
        <w:rFonts w:ascii="Times New Roman" w:eastAsia="Calibr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0C97282D"/>
    <w:multiLevelType w:val="hybridMultilevel"/>
    <w:tmpl w:val="345888BE"/>
    <w:lvl w:ilvl="0" w:tplc="3D3C855A">
      <w:start w:val="5"/>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8790339"/>
    <w:multiLevelType w:val="hybridMultilevel"/>
    <w:tmpl w:val="A6BC0C5A"/>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3169B1"/>
    <w:multiLevelType w:val="hybridMultilevel"/>
    <w:tmpl w:val="EEC0EFC4"/>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6C1FC9"/>
    <w:multiLevelType w:val="hybridMultilevel"/>
    <w:tmpl w:val="0FAEFACA"/>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DB399F"/>
    <w:multiLevelType w:val="hybridMultilevel"/>
    <w:tmpl w:val="F73078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AF5F65"/>
    <w:multiLevelType w:val="hybridMultilevel"/>
    <w:tmpl w:val="1D546A62"/>
    <w:lvl w:ilvl="0" w:tplc="090EC09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4E1EB9"/>
    <w:multiLevelType w:val="hybridMultilevel"/>
    <w:tmpl w:val="949EED2C"/>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CE39B0"/>
    <w:multiLevelType w:val="hybridMultilevel"/>
    <w:tmpl w:val="A314E4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DB3E95"/>
    <w:multiLevelType w:val="hybridMultilevel"/>
    <w:tmpl w:val="BC6C1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1E6C1E"/>
    <w:multiLevelType w:val="hybridMultilevel"/>
    <w:tmpl w:val="6B9E2278"/>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85D538B"/>
    <w:multiLevelType w:val="hybridMultilevel"/>
    <w:tmpl w:val="58088B0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7F4EB2"/>
    <w:multiLevelType w:val="hybridMultilevel"/>
    <w:tmpl w:val="9DCAF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2D63BB"/>
    <w:multiLevelType w:val="hybridMultilevel"/>
    <w:tmpl w:val="70CA5DC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18E0076"/>
    <w:multiLevelType w:val="hybridMultilevel"/>
    <w:tmpl w:val="CB4819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CC0B71"/>
    <w:multiLevelType w:val="hybridMultilevel"/>
    <w:tmpl w:val="95A4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7244D4F"/>
    <w:multiLevelType w:val="hybridMultilevel"/>
    <w:tmpl w:val="707CC3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BD028B"/>
    <w:multiLevelType w:val="hybridMultilevel"/>
    <w:tmpl w:val="C23042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F7F5F4D"/>
    <w:multiLevelType w:val="hybridMultilevel"/>
    <w:tmpl w:val="0E9AA8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F865B0A"/>
    <w:multiLevelType w:val="hybridMultilevel"/>
    <w:tmpl w:val="D11CB448"/>
    <w:lvl w:ilvl="0" w:tplc="E8021F1E">
      <w:numFmt w:val="bullet"/>
      <w:lvlText w:val="-"/>
      <w:lvlJc w:val="left"/>
      <w:pPr>
        <w:ind w:left="720" w:hanging="360"/>
      </w:pPr>
      <w:rPr>
        <w:rFonts w:ascii="Calibri" w:eastAsiaTheme="minorHAnsi" w:hAnsi="Calibr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4406CA"/>
    <w:multiLevelType w:val="hybridMultilevel"/>
    <w:tmpl w:val="35CC4DE2"/>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81112D5"/>
    <w:multiLevelType w:val="hybridMultilevel"/>
    <w:tmpl w:val="100E64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C1869D4"/>
    <w:multiLevelType w:val="hybridMultilevel"/>
    <w:tmpl w:val="86200888"/>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7"/>
  </w:num>
  <w:num w:numId="3">
    <w:abstractNumId w:val="23"/>
  </w:num>
  <w:num w:numId="4">
    <w:abstractNumId w:val="15"/>
  </w:num>
  <w:num w:numId="5">
    <w:abstractNumId w:val="14"/>
  </w:num>
  <w:num w:numId="6">
    <w:abstractNumId w:val="4"/>
  </w:num>
  <w:num w:numId="7">
    <w:abstractNumId w:val="9"/>
  </w:num>
  <w:num w:numId="8">
    <w:abstractNumId w:val="6"/>
  </w:num>
  <w:num w:numId="9">
    <w:abstractNumId w:val="5"/>
  </w:num>
  <w:num w:numId="10">
    <w:abstractNumId w:val="24"/>
  </w:num>
  <w:num w:numId="11">
    <w:abstractNumId w:val="20"/>
  </w:num>
  <w:num w:numId="12">
    <w:abstractNumId w:val="8"/>
  </w:num>
  <w:num w:numId="13">
    <w:abstractNumId w:val="11"/>
  </w:num>
  <w:num w:numId="14">
    <w:abstractNumId w:val="19"/>
  </w:num>
  <w:num w:numId="15">
    <w:abstractNumId w:val="16"/>
  </w:num>
  <w:num w:numId="16">
    <w:abstractNumId w:val="22"/>
  </w:num>
  <w:num w:numId="17">
    <w:abstractNumId w:val="0"/>
  </w:num>
  <w:num w:numId="18">
    <w:abstractNumId w:val="13"/>
  </w:num>
  <w:num w:numId="19">
    <w:abstractNumId w:val="10"/>
  </w:num>
  <w:num w:numId="20">
    <w:abstractNumId w:val="7"/>
  </w:num>
  <w:num w:numId="21">
    <w:abstractNumId w:val="21"/>
  </w:num>
  <w:num w:numId="22">
    <w:abstractNumId w:val="18"/>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9A"/>
    <w:rsid w:val="00012843"/>
    <w:rsid w:val="000272EA"/>
    <w:rsid w:val="000519EF"/>
    <w:rsid w:val="00095FFB"/>
    <w:rsid w:val="000B2C9E"/>
    <w:rsid w:val="000D1126"/>
    <w:rsid w:val="001052CE"/>
    <w:rsid w:val="00121A38"/>
    <w:rsid w:val="00155A52"/>
    <w:rsid w:val="00156345"/>
    <w:rsid w:val="00172BF0"/>
    <w:rsid w:val="001A1998"/>
    <w:rsid w:val="001B4FFF"/>
    <w:rsid w:val="001B6FFD"/>
    <w:rsid w:val="001C4630"/>
    <w:rsid w:val="002026F9"/>
    <w:rsid w:val="00223DD7"/>
    <w:rsid w:val="002338EC"/>
    <w:rsid w:val="00332FB3"/>
    <w:rsid w:val="003434A8"/>
    <w:rsid w:val="00346F87"/>
    <w:rsid w:val="0036691F"/>
    <w:rsid w:val="00372BEC"/>
    <w:rsid w:val="003E0186"/>
    <w:rsid w:val="00401304"/>
    <w:rsid w:val="004502B2"/>
    <w:rsid w:val="00484C90"/>
    <w:rsid w:val="004A6799"/>
    <w:rsid w:val="004B7D03"/>
    <w:rsid w:val="0054283F"/>
    <w:rsid w:val="00542D53"/>
    <w:rsid w:val="0055520D"/>
    <w:rsid w:val="00564F0C"/>
    <w:rsid w:val="005743B5"/>
    <w:rsid w:val="00587BAD"/>
    <w:rsid w:val="005C6129"/>
    <w:rsid w:val="005F2E00"/>
    <w:rsid w:val="006112FB"/>
    <w:rsid w:val="00625066"/>
    <w:rsid w:val="00635F61"/>
    <w:rsid w:val="00646439"/>
    <w:rsid w:val="00656A63"/>
    <w:rsid w:val="006879CE"/>
    <w:rsid w:val="006E1622"/>
    <w:rsid w:val="00732A03"/>
    <w:rsid w:val="007E7928"/>
    <w:rsid w:val="00817956"/>
    <w:rsid w:val="008B1D9A"/>
    <w:rsid w:val="00900C22"/>
    <w:rsid w:val="00920122"/>
    <w:rsid w:val="00921624"/>
    <w:rsid w:val="00953C24"/>
    <w:rsid w:val="009B4F1D"/>
    <w:rsid w:val="009E12F5"/>
    <w:rsid w:val="00A15C44"/>
    <w:rsid w:val="00A308EE"/>
    <w:rsid w:val="00A65665"/>
    <w:rsid w:val="00AA533B"/>
    <w:rsid w:val="00B06020"/>
    <w:rsid w:val="00B064B8"/>
    <w:rsid w:val="00B13A6D"/>
    <w:rsid w:val="00B21E9F"/>
    <w:rsid w:val="00B232C1"/>
    <w:rsid w:val="00BF4BBE"/>
    <w:rsid w:val="00C06673"/>
    <w:rsid w:val="00C20DB3"/>
    <w:rsid w:val="00C55775"/>
    <w:rsid w:val="00C91199"/>
    <w:rsid w:val="00CD487F"/>
    <w:rsid w:val="00DA2BEC"/>
    <w:rsid w:val="00DC3C05"/>
    <w:rsid w:val="00E271FC"/>
    <w:rsid w:val="00E8030A"/>
    <w:rsid w:val="00E81943"/>
    <w:rsid w:val="00F17119"/>
    <w:rsid w:val="00F34453"/>
    <w:rsid w:val="00FC4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42E0"/>
  <w15:chartTrackingRefBased/>
  <w15:docId w15:val="{74AD4CE1-02AA-4B5C-8C5A-D4D96823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46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72EA"/>
    <w:pPr>
      <w:ind w:left="720"/>
      <w:contextualSpacing/>
    </w:pPr>
  </w:style>
  <w:style w:type="table" w:styleId="Tabel-Gitter">
    <w:name w:val="Table Grid"/>
    <w:basedOn w:val="Tabel-Normal"/>
    <w:uiPriority w:val="39"/>
    <w:rsid w:val="00C2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5F2E0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646439"/>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646439"/>
    <w:pPr>
      <w:spacing w:after="0" w:line="240" w:lineRule="auto"/>
    </w:pPr>
    <w:rPr>
      <w:rFonts w:ascii="Times New Roman" w:hAnsi="Times New Roman" w:cs="Times New Roman"/>
      <w:sz w:val="24"/>
      <w:szCs w:val="24"/>
      <w:lang w:eastAsia="da-DK"/>
    </w:rPr>
  </w:style>
  <w:style w:type="character" w:customStyle="1" w:styleId="spellingerror">
    <w:name w:val="spellingerror"/>
    <w:basedOn w:val="Standardskrifttypeiafsnit"/>
    <w:rsid w:val="00646439"/>
  </w:style>
  <w:style w:type="character" w:customStyle="1" w:styleId="normaltextrun1">
    <w:name w:val="normaltextrun1"/>
    <w:basedOn w:val="Standardskrifttypeiafsnit"/>
    <w:rsid w:val="00646439"/>
  </w:style>
  <w:style w:type="character" w:customStyle="1" w:styleId="eop">
    <w:name w:val="eop"/>
    <w:basedOn w:val="Standardskrifttypeiafsnit"/>
    <w:rsid w:val="00646439"/>
  </w:style>
  <w:style w:type="character" w:styleId="Kommentarhenvisning">
    <w:name w:val="annotation reference"/>
    <w:basedOn w:val="Standardskrifttypeiafsnit"/>
    <w:uiPriority w:val="99"/>
    <w:semiHidden/>
    <w:unhideWhenUsed/>
    <w:rsid w:val="00646439"/>
    <w:rPr>
      <w:sz w:val="16"/>
      <w:szCs w:val="16"/>
    </w:rPr>
  </w:style>
  <w:style w:type="paragraph" w:styleId="Sidehoved">
    <w:name w:val="header"/>
    <w:basedOn w:val="Normal"/>
    <w:link w:val="SidehovedTegn"/>
    <w:uiPriority w:val="99"/>
    <w:unhideWhenUsed/>
    <w:rsid w:val="00F344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4453"/>
  </w:style>
  <w:style w:type="paragraph" w:styleId="Sidefod">
    <w:name w:val="footer"/>
    <w:basedOn w:val="Normal"/>
    <w:link w:val="SidefodTegn"/>
    <w:uiPriority w:val="99"/>
    <w:unhideWhenUsed/>
    <w:rsid w:val="00F344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4453"/>
  </w:style>
  <w:style w:type="paragraph" w:styleId="Markeringsbobletekst">
    <w:name w:val="Balloon Text"/>
    <w:basedOn w:val="Normal"/>
    <w:link w:val="MarkeringsbobletekstTegn"/>
    <w:uiPriority w:val="99"/>
    <w:semiHidden/>
    <w:unhideWhenUsed/>
    <w:rsid w:val="00F344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34453"/>
    <w:rPr>
      <w:rFonts w:ascii="Segoe UI" w:hAnsi="Segoe UI" w:cs="Segoe UI"/>
      <w:sz w:val="18"/>
      <w:szCs w:val="18"/>
    </w:rPr>
  </w:style>
  <w:style w:type="character" w:customStyle="1" w:styleId="normaltextrun">
    <w:name w:val="normaltextrun"/>
    <w:basedOn w:val="Standardskrifttypeiafsnit"/>
    <w:rsid w:val="0055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715140">
      <w:bodyDiv w:val="1"/>
      <w:marLeft w:val="0"/>
      <w:marRight w:val="0"/>
      <w:marTop w:val="0"/>
      <w:marBottom w:val="0"/>
      <w:divBdr>
        <w:top w:val="none" w:sz="0" w:space="0" w:color="auto"/>
        <w:left w:val="none" w:sz="0" w:space="0" w:color="auto"/>
        <w:bottom w:val="none" w:sz="0" w:space="0" w:color="auto"/>
        <w:right w:val="none" w:sz="0" w:space="0" w:color="auto"/>
      </w:divBdr>
      <w:divsChild>
        <w:div w:id="1023440494">
          <w:marLeft w:val="0"/>
          <w:marRight w:val="0"/>
          <w:marTop w:val="0"/>
          <w:marBottom w:val="0"/>
          <w:divBdr>
            <w:top w:val="none" w:sz="0" w:space="0" w:color="auto"/>
            <w:left w:val="none" w:sz="0" w:space="0" w:color="auto"/>
            <w:bottom w:val="none" w:sz="0" w:space="0" w:color="auto"/>
            <w:right w:val="none" w:sz="0" w:space="0" w:color="auto"/>
          </w:divBdr>
        </w:div>
        <w:div w:id="202127162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78814745">
          <w:marLeft w:val="0"/>
          <w:marRight w:val="0"/>
          <w:marTop w:val="0"/>
          <w:marBottom w:val="0"/>
          <w:divBdr>
            <w:top w:val="none" w:sz="0" w:space="0" w:color="auto"/>
            <w:left w:val="none" w:sz="0" w:space="0" w:color="auto"/>
            <w:bottom w:val="none" w:sz="0" w:space="0" w:color="auto"/>
            <w:right w:val="none" w:sz="0" w:space="0" w:color="auto"/>
          </w:divBdr>
        </w:div>
        <w:div w:id="1015770242">
          <w:marLeft w:val="0"/>
          <w:marRight w:val="0"/>
          <w:marTop w:val="0"/>
          <w:marBottom w:val="0"/>
          <w:divBdr>
            <w:top w:val="none" w:sz="0" w:space="0" w:color="auto"/>
            <w:left w:val="none" w:sz="0" w:space="0" w:color="auto"/>
            <w:bottom w:val="none" w:sz="0" w:space="0" w:color="auto"/>
            <w:right w:val="none" w:sz="0" w:space="0" w:color="auto"/>
          </w:divBdr>
        </w:div>
        <w:div w:id="168266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BEB5-BDDC-447C-84FD-F9B28A2C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2560</Words>
  <Characters>15618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Eibye Mikkelsen (LE | AKAT)</dc:creator>
  <cp:keywords/>
  <dc:description/>
  <cp:lastModifiedBy>Lone Eibye Mikkelsen (LE | AKAT)</cp:lastModifiedBy>
  <cp:revision>8</cp:revision>
  <cp:lastPrinted>2020-08-04T08:52:00Z</cp:lastPrinted>
  <dcterms:created xsi:type="dcterms:W3CDTF">2020-08-04T09:45:00Z</dcterms:created>
  <dcterms:modified xsi:type="dcterms:W3CDTF">2020-08-29T11:36:00Z</dcterms:modified>
</cp:coreProperties>
</file>